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jc w:val="left"/>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吉林省800公里以上</w:t>
      </w:r>
      <w:r>
        <w:rPr>
          <w:rFonts w:hint="eastAsia" w:ascii="方正小标宋简体" w:hAnsi="方正小标宋简体" w:eastAsia="方正小标宋简体" w:cs="方正小标宋简体"/>
          <w:sz w:val="44"/>
          <w:szCs w:val="44"/>
          <w:lang w:eastAsia="zh-CN"/>
        </w:rPr>
        <w:t>省际</w:t>
      </w:r>
      <w:r>
        <w:rPr>
          <w:rFonts w:hint="eastAsia" w:ascii="方正小标宋简体" w:hAnsi="方正小标宋简体" w:eastAsia="方正小标宋简体" w:cs="方正小标宋简体"/>
          <w:sz w:val="44"/>
          <w:szCs w:val="44"/>
        </w:rPr>
        <w:t>道路客运班线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安全风险评估实施</w:t>
      </w:r>
      <w:r>
        <w:rPr>
          <w:rFonts w:hint="eastAsia" w:ascii="方正小标宋简体" w:hAnsi="方正小标宋简体" w:eastAsia="方正小标宋简体" w:cs="方正小标宋简体"/>
          <w:sz w:val="44"/>
          <w:szCs w:val="44"/>
          <w:lang w:eastAsia="zh-CN"/>
        </w:rPr>
        <w:t>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第一条</w:t>
      </w:r>
      <w:r>
        <w:rPr>
          <w:rFonts w:hint="eastAsia" w:ascii="仿宋_GB2312" w:eastAsia="仿宋_GB2312"/>
          <w:sz w:val="32"/>
          <w:szCs w:val="32"/>
        </w:rPr>
        <w:t xml:space="preserve"> </w:t>
      </w: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为防范全省800公里以上省际道路客运班线运营安全风险，切实做好安全风险评估工作，防止发生道路客运班线安全事故，按照</w:t>
      </w:r>
      <w:r>
        <w:rPr>
          <w:rFonts w:hint="eastAsia" w:ascii="仿宋_GB2312" w:eastAsia="仿宋_GB2312"/>
          <w:sz w:val="32"/>
          <w:szCs w:val="32"/>
        </w:rPr>
        <w:t>《道路旅客运输</w:t>
      </w:r>
      <w:r>
        <w:rPr>
          <w:rFonts w:hint="eastAsia" w:ascii="仿宋_GB2312" w:eastAsia="仿宋_GB2312"/>
          <w:sz w:val="32"/>
          <w:szCs w:val="32"/>
          <w:lang w:eastAsia="zh-CN"/>
        </w:rPr>
        <w:t>及客运站管理规定</w:t>
      </w:r>
      <w:r>
        <w:rPr>
          <w:rFonts w:hint="eastAsia" w:ascii="仿宋_GB2312" w:eastAsia="仿宋_GB2312"/>
          <w:sz w:val="32"/>
          <w:szCs w:val="32"/>
        </w:rPr>
        <w:t>》、《交通运输部办公厅关于进一步加强省际道路客运班线管理有关工作的通知》</w:t>
      </w:r>
      <w:r>
        <w:rPr>
          <w:rFonts w:hint="eastAsia" w:ascii="仿宋_GB2312" w:hAnsi="仿宋_GB2312" w:eastAsia="仿宋_GB2312" w:cs="仿宋_GB2312"/>
          <w:sz w:val="32"/>
          <w:szCs w:val="32"/>
        </w:rPr>
        <w:t>（交运办〔2021〕85号）</w:t>
      </w:r>
      <w:r>
        <w:rPr>
          <w:rFonts w:hint="eastAsia" w:ascii="仿宋_GB2312" w:eastAsia="仿宋_GB2312"/>
          <w:sz w:val="32"/>
          <w:szCs w:val="32"/>
        </w:rPr>
        <w:t>、《800公里以上省际道路客运班线安全风险评估指南》等</w:t>
      </w:r>
      <w:r>
        <w:rPr>
          <w:rFonts w:hint="eastAsia" w:ascii="仿宋_GB2312" w:eastAsia="仿宋_GB2312"/>
          <w:sz w:val="32"/>
          <w:szCs w:val="32"/>
          <w:lang w:eastAsia="zh-CN"/>
        </w:rPr>
        <w:t>相关</w:t>
      </w:r>
      <w:r>
        <w:rPr>
          <w:rFonts w:hint="eastAsia" w:ascii="仿宋_GB2312" w:eastAsia="仿宋_GB2312"/>
          <w:sz w:val="32"/>
          <w:szCs w:val="32"/>
        </w:rPr>
        <w:t>要求，制定本</w:t>
      </w:r>
      <w:r>
        <w:rPr>
          <w:rFonts w:hint="default" w:ascii="仿宋_GB2312" w:eastAsia="仿宋_GB2312"/>
          <w:sz w:val="32"/>
          <w:szCs w:val="32"/>
        </w:rPr>
        <w:t>实施</w:t>
      </w:r>
      <w:r>
        <w:rPr>
          <w:rFonts w:hint="eastAsia" w:ascii="仿宋_GB2312" w:eastAsia="仿宋_GB2312"/>
          <w:sz w:val="32"/>
          <w:szCs w:val="32"/>
          <w:lang w:eastAsia="zh-CN"/>
        </w:rPr>
        <w:t>规定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第二条</w:t>
      </w:r>
      <w:r>
        <w:rPr>
          <w:rFonts w:hint="eastAsia" w:ascii="仿宋_GB2312" w:eastAsia="仿宋_GB2312"/>
          <w:sz w:val="32"/>
          <w:szCs w:val="32"/>
        </w:rPr>
        <w:t xml:space="preserve">  800公里以上</w:t>
      </w:r>
      <w:r>
        <w:rPr>
          <w:rFonts w:hint="eastAsia" w:ascii="仿宋_GB2312" w:eastAsia="仿宋_GB2312"/>
          <w:sz w:val="32"/>
          <w:szCs w:val="32"/>
          <w:lang w:eastAsia="zh-CN"/>
        </w:rPr>
        <w:t>省际</w:t>
      </w:r>
      <w:r>
        <w:rPr>
          <w:rFonts w:hint="eastAsia" w:ascii="仿宋_GB2312" w:eastAsia="仿宋_GB2312"/>
          <w:sz w:val="32"/>
          <w:szCs w:val="32"/>
        </w:rPr>
        <w:t>道路客运班线安全风险评估主体为</w:t>
      </w:r>
      <w:r>
        <w:rPr>
          <w:rFonts w:hint="eastAsia" w:ascii="仿宋_GB2312" w:eastAsia="仿宋_GB2312"/>
          <w:sz w:val="32"/>
          <w:szCs w:val="32"/>
          <w:lang w:eastAsia="zh-CN"/>
        </w:rPr>
        <w:t>各</w:t>
      </w:r>
      <w:r>
        <w:rPr>
          <w:rFonts w:hint="eastAsia" w:ascii="仿宋_GB2312" w:eastAsia="仿宋_GB2312"/>
          <w:sz w:val="32"/>
          <w:szCs w:val="32"/>
        </w:rPr>
        <w:t>市（州）、</w:t>
      </w:r>
      <w:r>
        <w:rPr>
          <w:rFonts w:hint="eastAsia" w:ascii="仿宋_GB2312" w:eastAsia="仿宋_GB2312"/>
          <w:sz w:val="32"/>
          <w:szCs w:val="32"/>
          <w:lang w:eastAsia="zh-CN"/>
        </w:rPr>
        <w:t>长白山管委会和梅河口市</w:t>
      </w:r>
      <w:r>
        <w:rPr>
          <w:rFonts w:hint="eastAsia" w:ascii="仿宋_GB2312" w:eastAsia="仿宋_GB2312"/>
          <w:sz w:val="32"/>
          <w:szCs w:val="32"/>
        </w:rPr>
        <w:t>交通运输主管部门。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风险评估主体可通过</w:t>
      </w:r>
      <w:r>
        <w:rPr>
          <w:rFonts w:hint="eastAsia" w:ascii="仿宋_GB2312" w:eastAsia="仿宋_GB2312"/>
          <w:sz w:val="32"/>
          <w:szCs w:val="32"/>
        </w:rPr>
        <w:t>组织专家</w:t>
      </w:r>
      <w:r>
        <w:rPr>
          <w:rFonts w:hint="eastAsia" w:ascii="仿宋_GB2312" w:eastAsia="仿宋_GB2312"/>
          <w:sz w:val="32"/>
          <w:szCs w:val="32"/>
          <w:lang w:eastAsia="zh-CN"/>
        </w:rPr>
        <w:t>评估</w:t>
      </w:r>
      <w:r>
        <w:rPr>
          <w:rFonts w:hint="eastAsia" w:ascii="仿宋_GB2312" w:eastAsia="仿宋_GB2312"/>
          <w:sz w:val="32"/>
          <w:szCs w:val="32"/>
        </w:rPr>
        <w:t>或委托第三方评估</w:t>
      </w:r>
      <w:r>
        <w:rPr>
          <w:rFonts w:hint="eastAsia" w:ascii="仿宋_GB2312" w:eastAsia="仿宋_GB2312"/>
          <w:sz w:val="32"/>
          <w:szCs w:val="32"/>
          <w:lang w:eastAsia="zh-CN"/>
        </w:rPr>
        <w:t>等方式开展风险评估</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highlight w:val="none"/>
          <w:lang w:eastAsia="zh-CN"/>
        </w:rPr>
        <w:t>省级交通运输主管部门负责指导各地开展</w:t>
      </w:r>
      <w:r>
        <w:rPr>
          <w:rFonts w:hint="eastAsia" w:ascii="仿宋_GB2312" w:eastAsia="仿宋_GB2312"/>
          <w:sz w:val="32"/>
          <w:szCs w:val="32"/>
          <w:highlight w:val="none"/>
          <w:lang w:val="en-US" w:eastAsia="zh-CN"/>
        </w:rPr>
        <w:t>800公里以上省际道路客运班线安全风险评估工作。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highlight w:val="none"/>
          <w:lang w:eastAsia="zh-CN"/>
        </w:rPr>
      </w:pPr>
      <w:r>
        <w:rPr>
          <w:rFonts w:hint="eastAsia" w:ascii="仿宋_GB2312" w:eastAsia="仿宋_GB2312"/>
          <w:b/>
          <w:sz w:val="32"/>
          <w:szCs w:val="32"/>
        </w:rPr>
        <w:t>第</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highlight w:val="none"/>
          <w:lang w:eastAsia="zh-CN"/>
        </w:rPr>
        <w:t>相关客运经营者拟申请延续经营</w:t>
      </w:r>
      <w:r>
        <w:rPr>
          <w:rFonts w:hint="eastAsia" w:ascii="仿宋_GB2312" w:eastAsia="仿宋_GB2312"/>
          <w:sz w:val="32"/>
          <w:szCs w:val="32"/>
          <w:highlight w:val="none"/>
        </w:rPr>
        <w:t>800公里以上</w:t>
      </w:r>
      <w:r>
        <w:rPr>
          <w:rFonts w:hint="eastAsia" w:ascii="仿宋_GB2312" w:eastAsia="仿宋_GB2312"/>
          <w:sz w:val="32"/>
          <w:szCs w:val="32"/>
          <w:highlight w:val="none"/>
          <w:lang w:eastAsia="zh-CN"/>
        </w:rPr>
        <w:t>省际</w:t>
      </w:r>
      <w:r>
        <w:rPr>
          <w:rFonts w:hint="eastAsia" w:ascii="仿宋_GB2312" w:eastAsia="仿宋_GB2312"/>
          <w:sz w:val="32"/>
          <w:szCs w:val="32"/>
          <w:highlight w:val="none"/>
        </w:rPr>
        <w:t>道路客运班线</w:t>
      </w:r>
      <w:r>
        <w:rPr>
          <w:rFonts w:hint="eastAsia" w:ascii="仿宋_GB2312" w:eastAsia="仿宋_GB2312"/>
          <w:sz w:val="32"/>
          <w:szCs w:val="32"/>
          <w:highlight w:val="none"/>
          <w:lang w:eastAsia="zh-CN"/>
        </w:rPr>
        <w:t>的，应</w:t>
      </w:r>
      <w:r>
        <w:rPr>
          <w:rFonts w:hint="eastAsia" w:ascii="仿宋_GB2312" w:eastAsia="仿宋_GB2312"/>
          <w:sz w:val="32"/>
          <w:szCs w:val="32"/>
          <w:highlight w:val="none"/>
        </w:rPr>
        <w:t>对照附件要求准备相关资料。</w:t>
      </w:r>
      <w:r>
        <w:rPr>
          <w:rFonts w:hint="eastAsia" w:ascii="仿宋_GB2312" w:eastAsia="仿宋_GB2312"/>
          <w:sz w:val="32"/>
          <w:szCs w:val="32"/>
          <w:highlight w:val="none"/>
          <w:lang w:eastAsia="zh-CN"/>
        </w:rPr>
        <w:t>相关许可机关应及时</w:t>
      </w:r>
      <w:r>
        <w:rPr>
          <w:rFonts w:hint="eastAsia" w:ascii="仿宋_GB2312" w:eastAsia="仿宋_GB2312"/>
          <w:sz w:val="32"/>
          <w:szCs w:val="32"/>
          <w:highlight w:val="none"/>
        </w:rPr>
        <w:t>组织开展</w:t>
      </w:r>
      <w:r>
        <w:rPr>
          <w:rFonts w:hint="eastAsia" w:ascii="仿宋_GB2312" w:eastAsia="仿宋_GB2312"/>
          <w:sz w:val="32"/>
          <w:szCs w:val="32"/>
          <w:highlight w:val="none"/>
          <w:lang w:eastAsia="zh-CN"/>
        </w:rPr>
        <w:t>安全风险</w:t>
      </w:r>
      <w:r>
        <w:rPr>
          <w:rFonts w:hint="eastAsia" w:ascii="仿宋_GB2312" w:eastAsia="仿宋_GB2312"/>
          <w:sz w:val="32"/>
          <w:szCs w:val="32"/>
          <w:highlight w:val="none"/>
        </w:rPr>
        <w:t>评估工作</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相关许可机关要采取资料审查和现场核查相结合的方式开展安全风险评估工作。评估工作结束后形成综合评估报告，报告内容应包括：</w:t>
      </w:r>
      <w:r>
        <w:rPr>
          <w:rFonts w:hint="eastAsia" w:ascii="仿宋_GB2312" w:eastAsia="仿宋_GB2312"/>
          <w:sz w:val="32"/>
          <w:szCs w:val="32"/>
          <w:highlight w:val="none"/>
          <w:lang w:val="en-US" w:eastAsia="zh-CN"/>
        </w:rPr>
        <w:t>参评人员、参评线路、评估开展情况、评估结论等。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 xml:space="preserve">条 </w:t>
      </w:r>
      <w:r>
        <w:rPr>
          <w:rFonts w:hint="eastAsia" w:ascii="仿宋_GB2312" w:eastAsia="仿宋_GB2312"/>
          <w:sz w:val="32"/>
          <w:szCs w:val="32"/>
        </w:rPr>
        <w:t xml:space="preserve"> </w:t>
      </w:r>
      <w:r>
        <w:rPr>
          <w:rFonts w:hint="eastAsia" w:ascii="仿宋_GB2312" w:eastAsia="仿宋_GB2312"/>
          <w:sz w:val="32"/>
          <w:szCs w:val="32"/>
          <w:highlight w:val="none"/>
          <w:lang w:val="en-US" w:eastAsia="zh-CN"/>
        </w:rPr>
        <w:t>对已经进入市场、经营期限尚未届满的800公里以上省际道路客运班线，许可机关要按照本实施规定开展安全风险评估和隐患排查。对</w:t>
      </w:r>
      <w:r>
        <w:rPr>
          <w:rFonts w:hint="default" w:ascii="仿宋_GB2312" w:eastAsia="仿宋_GB2312"/>
          <w:sz w:val="32"/>
          <w:szCs w:val="32"/>
          <w:highlight w:val="none"/>
          <w:lang w:eastAsia="zh-CN"/>
        </w:rPr>
        <w:t>经</w:t>
      </w:r>
      <w:r>
        <w:rPr>
          <w:rFonts w:hint="eastAsia" w:ascii="仿宋_GB2312" w:eastAsia="仿宋_GB2312"/>
          <w:sz w:val="32"/>
          <w:szCs w:val="32"/>
          <w:highlight w:val="none"/>
          <w:lang w:val="en-US" w:eastAsia="zh-CN"/>
        </w:rPr>
        <w:t>停产停业整顿仍存重大安全隐患，不具备安全生产条件的，</w:t>
      </w:r>
      <w:r>
        <w:rPr>
          <w:rFonts w:hint="default" w:ascii="仿宋_GB2312" w:eastAsia="仿宋_GB2312"/>
          <w:sz w:val="32"/>
          <w:szCs w:val="32"/>
          <w:highlight w:val="none"/>
        </w:rPr>
        <w:t>交通运输主管部门</w:t>
      </w:r>
      <w:r>
        <w:rPr>
          <w:rFonts w:hint="eastAsia" w:ascii="仿宋_GB2312" w:eastAsia="仿宋_GB2312"/>
          <w:sz w:val="32"/>
          <w:szCs w:val="32"/>
          <w:highlight w:val="none"/>
          <w:lang w:eastAsia="zh-CN"/>
        </w:rPr>
        <w:t>应</w:t>
      </w:r>
      <w:r>
        <w:rPr>
          <w:rFonts w:hint="eastAsia" w:ascii="仿宋_GB2312" w:eastAsia="仿宋_GB2312"/>
          <w:sz w:val="32"/>
          <w:szCs w:val="32"/>
          <w:highlight w:val="none"/>
          <w:lang w:val="en-US" w:eastAsia="zh-CN"/>
        </w:rPr>
        <w:t>按照《中华人民共和国安全生产法》《道路旅客运输及客运站管理规定》，依法吊销相应许可。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800公里以上</w:t>
      </w:r>
      <w:r>
        <w:rPr>
          <w:rFonts w:hint="eastAsia" w:ascii="仿宋_GB2312" w:eastAsia="仿宋_GB2312"/>
          <w:sz w:val="32"/>
          <w:szCs w:val="32"/>
          <w:lang w:eastAsia="zh-CN"/>
        </w:rPr>
        <w:t>省际</w:t>
      </w:r>
      <w:r>
        <w:rPr>
          <w:rFonts w:hint="eastAsia" w:ascii="仿宋_GB2312" w:eastAsia="仿宋_GB2312"/>
          <w:sz w:val="32"/>
          <w:szCs w:val="32"/>
        </w:rPr>
        <w:t>道路客运班线安全风险评估</w:t>
      </w:r>
      <w:r>
        <w:rPr>
          <w:rFonts w:hint="eastAsia" w:ascii="仿宋_GB2312" w:eastAsia="仿宋_GB2312"/>
          <w:sz w:val="32"/>
          <w:szCs w:val="32"/>
          <w:lang w:eastAsia="zh-CN"/>
        </w:rPr>
        <w:t>满分为</w:t>
      </w:r>
      <w:r>
        <w:rPr>
          <w:rFonts w:hint="eastAsia" w:ascii="仿宋_GB2312" w:eastAsia="仿宋_GB2312"/>
          <w:sz w:val="32"/>
          <w:szCs w:val="32"/>
          <w:lang w:val="en-US" w:eastAsia="zh-CN"/>
        </w:rPr>
        <w:t>100分。具体</w:t>
      </w:r>
      <w:r>
        <w:rPr>
          <w:rFonts w:hint="eastAsia" w:ascii="仿宋_GB2312" w:eastAsia="仿宋_GB2312"/>
          <w:sz w:val="32"/>
          <w:szCs w:val="32"/>
        </w:rPr>
        <w:t>内容包括</w:t>
      </w:r>
      <w:r>
        <w:rPr>
          <w:rFonts w:hint="eastAsia" w:ascii="仿宋_GB2312" w:eastAsia="仿宋_GB2312"/>
          <w:sz w:val="32"/>
          <w:szCs w:val="32"/>
          <w:lang w:eastAsia="zh-CN"/>
        </w:rPr>
        <w:t>：</w:t>
      </w:r>
      <w:r>
        <w:rPr>
          <w:rFonts w:hint="eastAsia" w:ascii="仿宋_GB2312" w:eastAsia="仿宋_GB2312"/>
          <w:sz w:val="32"/>
          <w:szCs w:val="32"/>
        </w:rPr>
        <w:t>线路</w:t>
      </w:r>
      <w:r>
        <w:rPr>
          <w:rFonts w:hint="eastAsia" w:ascii="仿宋_GB2312" w:eastAsia="仿宋_GB2312"/>
          <w:sz w:val="32"/>
          <w:szCs w:val="32"/>
          <w:lang w:eastAsia="zh-CN"/>
        </w:rPr>
        <w:t>（</w:t>
      </w:r>
      <w:r>
        <w:rPr>
          <w:rFonts w:hint="eastAsia" w:ascii="仿宋_GB2312" w:eastAsia="仿宋_GB2312"/>
          <w:sz w:val="32"/>
          <w:szCs w:val="32"/>
          <w:lang w:val="en-US" w:eastAsia="zh-CN"/>
        </w:rPr>
        <w:t>10分</w:t>
      </w:r>
      <w:r>
        <w:rPr>
          <w:rFonts w:hint="eastAsia" w:ascii="仿宋_GB2312" w:eastAsia="仿宋_GB2312"/>
          <w:sz w:val="32"/>
          <w:szCs w:val="32"/>
          <w:lang w:eastAsia="zh-CN"/>
        </w:rPr>
        <w:t>）</w:t>
      </w:r>
      <w:r>
        <w:rPr>
          <w:rFonts w:hint="eastAsia" w:ascii="仿宋_GB2312" w:eastAsia="仿宋_GB2312"/>
          <w:sz w:val="32"/>
          <w:szCs w:val="32"/>
        </w:rPr>
        <w:t>、车辆</w:t>
      </w:r>
      <w:r>
        <w:rPr>
          <w:rFonts w:hint="eastAsia" w:ascii="仿宋_GB2312" w:eastAsia="仿宋_GB2312"/>
          <w:sz w:val="32"/>
          <w:szCs w:val="32"/>
          <w:lang w:eastAsia="zh-CN"/>
        </w:rPr>
        <w:t>（</w:t>
      </w:r>
      <w:r>
        <w:rPr>
          <w:rFonts w:hint="eastAsia" w:ascii="仿宋_GB2312" w:eastAsia="仿宋_GB2312"/>
          <w:sz w:val="32"/>
          <w:szCs w:val="32"/>
          <w:lang w:val="en-US" w:eastAsia="zh-CN"/>
        </w:rPr>
        <w:t>20分</w:t>
      </w:r>
      <w:r>
        <w:rPr>
          <w:rFonts w:hint="eastAsia" w:ascii="仿宋_GB2312" w:eastAsia="仿宋_GB2312"/>
          <w:sz w:val="32"/>
          <w:szCs w:val="32"/>
          <w:lang w:eastAsia="zh-CN"/>
        </w:rPr>
        <w:t>）</w:t>
      </w:r>
      <w:r>
        <w:rPr>
          <w:rFonts w:hint="eastAsia" w:ascii="仿宋_GB2312" w:eastAsia="仿宋_GB2312"/>
          <w:sz w:val="32"/>
          <w:szCs w:val="32"/>
        </w:rPr>
        <w:t>、从业人员</w:t>
      </w:r>
      <w:r>
        <w:rPr>
          <w:rFonts w:hint="eastAsia" w:ascii="仿宋_GB2312" w:eastAsia="仿宋_GB2312"/>
          <w:sz w:val="32"/>
          <w:szCs w:val="32"/>
          <w:lang w:eastAsia="zh-CN"/>
        </w:rPr>
        <w:t>（</w:t>
      </w:r>
      <w:r>
        <w:rPr>
          <w:rFonts w:hint="eastAsia" w:ascii="仿宋_GB2312" w:eastAsia="仿宋_GB2312"/>
          <w:sz w:val="32"/>
          <w:szCs w:val="32"/>
          <w:lang w:val="en-US" w:eastAsia="zh-CN"/>
        </w:rPr>
        <w:t>30分</w:t>
      </w:r>
      <w:r>
        <w:rPr>
          <w:rFonts w:hint="eastAsia" w:ascii="仿宋_GB2312" w:eastAsia="仿宋_GB2312"/>
          <w:sz w:val="32"/>
          <w:szCs w:val="32"/>
          <w:lang w:eastAsia="zh-CN"/>
        </w:rPr>
        <w:t>）</w:t>
      </w:r>
      <w:r>
        <w:rPr>
          <w:rFonts w:hint="eastAsia" w:ascii="仿宋_GB2312" w:eastAsia="仿宋_GB2312"/>
          <w:sz w:val="32"/>
          <w:szCs w:val="32"/>
        </w:rPr>
        <w:t>、管理制度</w:t>
      </w:r>
      <w:r>
        <w:rPr>
          <w:rFonts w:hint="eastAsia" w:ascii="仿宋_GB2312" w:eastAsia="仿宋_GB2312"/>
          <w:sz w:val="32"/>
          <w:szCs w:val="32"/>
          <w:lang w:eastAsia="zh-CN"/>
        </w:rPr>
        <w:t>（</w:t>
      </w:r>
      <w:r>
        <w:rPr>
          <w:rFonts w:hint="eastAsia" w:ascii="仿宋_GB2312" w:eastAsia="仿宋_GB2312"/>
          <w:sz w:val="32"/>
          <w:szCs w:val="32"/>
          <w:lang w:val="en-US" w:eastAsia="zh-CN"/>
        </w:rPr>
        <w:t>20</w:t>
      </w:r>
      <w:r>
        <w:rPr>
          <w:rFonts w:hint="default" w:ascii="仿宋_GB2312" w:eastAsia="仿宋_GB2312"/>
          <w:sz w:val="32"/>
          <w:szCs w:val="32"/>
          <w:lang w:eastAsia="zh-CN"/>
        </w:rPr>
        <w:t>分</w:t>
      </w:r>
      <w:r>
        <w:rPr>
          <w:rFonts w:hint="eastAsia" w:ascii="仿宋_GB2312" w:eastAsia="仿宋_GB2312"/>
          <w:sz w:val="32"/>
          <w:szCs w:val="32"/>
          <w:lang w:eastAsia="zh-CN"/>
        </w:rPr>
        <w:t>）</w:t>
      </w:r>
      <w:r>
        <w:rPr>
          <w:rFonts w:hint="eastAsia" w:ascii="仿宋_GB2312" w:eastAsia="仿宋_GB2312"/>
          <w:sz w:val="32"/>
          <w:szCs w:val="32"/>
        </w:rPr>
        <w:t>、运营</w:t>
      </w:r>
      <w:r>
        <w:rPr>
          <w:rFonts w:hint="eastAsia" w:ascii="仿宋_GB2312" w:eastAsia="仿宋_GB2312"/>
          <w:sz w:val="32"/>
          <w:szCs w:val="32"/>
          <w:lang w:eastAsia="zh-CN"/>
        </w:rPr>
        <w:t>现状（</w:t>
      </w:r>
      <w:r>
        <w:rPr>
          <w:rFonts w:hint="eastAsia" w:ascii="仿宋_GB2312" w:eastAsia="仿宋_GB2312"/>
          <w:sz w:val="32"/>
          <w:szCs w:val="32"/>
          <w:lang w:val="en-US" w:eastAsia="zh-CN"/>
        </w:rPr>
        <w:t>20分</w:t>
      </w:r>
      <w:r>
        <w:rPr>
          <w:rFonts w:hint="eastAsia" w:ascii="仿宋_GB2312" w:eastAsia="仿宋_GB2312"/>
          <w:sz w:val="32"/>
          <w:szCs w:val="32"/>
          <w:lang w:eastAsia="zh-CN"/>
        </w:rPr>
        <w:t>）等</w:t>
      </w:r>
      <w:r>
        <w:rPr>
          <w:rFonts w:hint="eastAsia" w:ascii="仿宋_GB2312" w:eastAsia="仿宋_GB2312"/>
          <w:sz w:val="32"/>
          <w:szCs w:val="32"/>
        </w:rPr>
        <w:t>5大项，具体见《吉林省800公里以上省际道路客运班线安全风险评估评分表》（附件）。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highlight w:val="none"/>
          <w:lang w:eastAsia="zh-CN"/>
        </w:rPr>
      </w:pPr>
      <w:r>
        <w:rPr>
          <w:rFonts w:hint="eastAsia" w:ascii="仿宋_GB2312" w:eastAsia="仿宋_GB2312"/>
          <w:sz w:val="32"/>
          <w:szCs w:val="32"/>
        </w:rPr>
        <w:t xml:space="preserve">    </w:t>
      </w:r>
      <w:r>
        <w:rPr>
          <w:rFonts w:hint="eastAsia" w:ascii="仿宋_GB2312" w:eastAsia="仿宋_GB2312"/>
          <w:b/>
          <w:sz w:val="32"/>
          <w:szCs w:val="32"/>
        </w:rPr>
        <w:t>第</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评估累计扣分分值40分及以上，或线路、车辆、从业人员、管理制度、运营现状等大项中有一项扣分分值占该项总分40%及以上的，评估为高风险线路；累计扣分分值介于20分至40分之间，或线路、车辆、从业人员、管理制度、运营</w:t>
      </w:r>
      <w:r>
        <w:rPr>
          <w:rFonts w:hint="eastAsia" w:ascii="仿宋_GB2312" w:eastAsia="仿宋_GB2312"/>
          <w:sz w:val="32"/>
          <w:szCs w:val="32"/>
          <w:lang w:eastAsia="zh-CN"/>
        </w:rPr>
        <w:t>现状</w:t>
      </w:r>
      <w:r>
        <w:rPr>
          <w:rFonts w:hint="eastAsia" w:ascii="仿宋_GB2312" w:eastAsia="仿宋_GB2312"/>
          <w:sz w:val="32"/>
          <w:szCs w:val="32"/>
        </w:rPr>
        <w:t>等大项中，有一项扣分分值介于20%至40%之间的，评估为中风险线路；累计扣分分值20分以下，或线路、车辆、从业人员、管理制度、运营现状等大项扣分分值全部占该项总分20%以下的，评估为低风险线路。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eastAsia="仿宋_GB2312"/>
          <w:sz w:val="32"/>
          <w:szCs w:val="32"/>
          <w:lang w:eastAsia="zh-CN"/>
        </w:rPr>
      </w:pPr>
      <w:r>
        <w:rPr>
          <w:rFonts w:hint="default" w:ascii="仿宋_GB2312" w:eastAsia="仿宋_GB2312"/>
          <w:b/>
          <w:sz w:val="32"/>
          <w:szCs w:val="32"/>
          <w:lang w:eastAsia="zh-CN"/>
        </w:rPr>
        <w:t>第</w:t>
      </w:r>
      <w:r>
        <w:rPr>
          <w:rFonts w:hint="eastAsia" w:ascii="仿宋_GB2312" w:eastAsia="仿宋_GB2312"/>
          <w:b/>
          <w:sz w:val="32"/>
          <w:szCs w:val="32"/>
          <w:lang w:eastAsia="zh-CN"/>
        </w:rPr>
        <w:t>七</w:t>
      </w:r>
      <w:r>
        <w:rPr>
          <w:rFonts w:hint="default" w:ascii="仿宋_GB2312" w:eastAsia="仿宋_GB2312"/>
          <w:b/>
          <w:sz w:val="32"/>
          <w:szCs w:val="32"/>
          <w:lang w:eastAsia="zh-CN"/>
        </w:rPr>
        <w:t xml:space="preserve">条 </w:t>
      </w:r>
      <w:r>
        <w:rPr>
          <w:rFonts w:hint="default" w:ascii="仿宋_GB2312" w:eastAsia="仿宋_GB2312"/>
          <w:sz w:val="32"/>
          <w:szCs w:val="32"/>
          <w:lang w:eastAsia="zh-CN"/>
        </w:rPr>
        <w:t xml:space="preserve"> 对于起讫地所在城市间已经开通直达高铁、动车或者民航航线，且客流长期严重不足的省际道路客运班线，可通过依法转为包车客运等方式，有序引导经营者退出省际道路客运班线市场。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lang w:eastAsia="zh-CN"/>
        </w:rPr>
        <w:t>第八条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 xml:space="preserve"> 我省不再新增800公里以上道路客运班线。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sectPr>
          <w:headerReference r:id="rId3" w:type="default"/>
          <w:footerReference r:id="rId4" w:type="default"/>
          <w:pgSz w:w="11906" w:h="16838"/>
          <w:pgMar w:top="1803" w:right="1417" w:bottom="1417" w:left="1417" w:header="851" w:footer="992" w:gutter="0"/>
          <w:pgNumType w:fmt="decimal"/>
          <w:cols w:space="0" w:num="1"/>
          <w:rtlGutter w:val="0"/>
          <w:docGrid w:type="lines" w:linePitch="312" w:charSpace="0"/>
        </w:sectPr>
      </w:pPr>
      <w:r>
        <w:rPr>
          <w:rFonts w:hint="eastAsia" w:ascii="仿宋_GB2312" w:eastAsia="仿宋_GB2312"/>
          <w:sz w:val="32"/>
          <w:szCs w:val="32"/>
        </w:rPr>
        <w:t xml:space="preserve">    </w:t>
      </w:r>
      <w:r>
        <w:rPr>
          <w:rFonts w:hint="eastAsia" w:ascii="仿宋_GB2312" w:eastAsia="仿宋_GB2312"/>
          <w:b/>
          <w:sz w:val="32"/>
          <w:szCs w:val="32"/>
        </w:rPr>
        <w:t>第</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本</w:t>
      </w:r>
      <w:r>
        <w:rPr>
          <w:rFonts w:hint="eastAsia" w:ascii="仿宋_GB2312" w:eastAsia="仿宋_GB2312"/>
          <w:sz w:val="32"/>
          <w:szCs w:val="32"/>
          <w:lang w:eastAsia="zh-CN"/>
        </w:rPr>
        <w:t>规定</w:t>
      </w:r>
      <w:r>
        <w:rPr>
          <w:rFonts w:hint="eastAsia" w:ascii="仿宋_GB2312" w:eastAsia="仿宋_GB2312"/>
          <w:sz w:val="32"/>
          <w:szCs w:val="32"/>
        </w:rPr>
        <w:t>自印发之日起</w:t>
      </w:r>
      <w:r>
        <w:rPr>
          <w:rFonts w:hint="eastAsia" w:ascii="仿宋_GB2312" w:eastAsia="仿宋_GB2312"/>
          <w:sz w:val="32"/>
          <w:szCs w:val="32"/>
          <w:lang w:val="en-US" w:eastAsia="zh-CN"/>
        </w:rPr>
        <w:t>30日之后</w:t>
      </w:r>
      <w:r>
        <w:rPr>
          <w:rFonts w:hint="eastAsia" w:ascii="仿宋_GB2312" w:eastAsia="仿宋_GB2312"/>
          <w:sz w:val="32"/>
          <w:szCs w:val="32"/>
          <w:lang w:eastAsia="zh-CN"/>
        </w:rPr>
        <w:t>实施</w:t>
      </w:r>
      <w:r>
        <w:rPr>
          <w:rFonts w:hint="eastAsia" w:ascii="仿宋_GB2312" w:eastAsia="仿宋_GB2312"/>
          <w:sz w:val="32"/>
          <w:szCs w:val="32"/>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吉林省</w:t>
      </w:r>
      <w:r>
        <w:rPr>
          <w:rFonts w:hint="eastAsia" w:ascii="方正小标宋简体" w:hAnsi="方正小标宋简体" w:eastAsia="方正小标宋简体" w:cs="方正小标宋简体"/>
          <w:sz w:val="44"/>
          <w:szCs w:val="44"/>
          <w:lang w:val="en-US" w:eastAsia="zh-CN"/>
        </w:rPr>
        <w:t>800公里以上省际道路客运班线安全风</w:t>
      </w:r>
      <w:r>
        <w:rPr>
          <w:rFonts w:hint="eastAsia" w:ascii="方正小标宋简体" w:hAnsi="方正小标宋简体" w:eastAsia="方正小标宋简体" w:cs="方正小标宋简体"/>
          <w:sz w:val="44"/>
          <w:szCs w:val="44"/>
        </w:rPr>
        <w:t>险评估评分表</w:t>
      </w:r>
    </w:p>
    <w:p>
      <w:pPr>
        <w:rPr>
          <w:rFonts w:ascii="仿宋_GB2312" w:eastAsia="仿宋_GB2312"/>
          <w:sz w:val="32"/>
          <w:szCs w:val="32"/>
        </w:rPr>
      </w:pPr>
      <w:r>
        <w:rPr>
          <w:rFonts w:hint="eastAsia" w:ascii="仿宋_GB2312" w:eastAsia="仿宋_GB2312"/>
          <w:sz w:val="32"/>
          <w:szCs w:val="32"/>
        </w:rPr>
        <w:t xml:space="preserve">企业名称：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线路名称：</w:t>
      </w:r>
    </w:p>
    <w:tbl>
      <w:tblPr>
        <w:tblStyle w:val="6"/>
        <w:tblW w:w="4998" w:type="pct"/>
        <w:tblInd w:w="0" w:type="dxa"/>
        <w:tblLayout w:type="autofit"/>
        <w:tblCellMar>
          <w:top w:w="0" w:type="dxa"/>
          <w:left w:w="108" w:type="dxa"/>
          <w:bottom w:w="0" w:type="dxa"/>
          <w:right w:w="108" w:type="dxa"/>
        </w:tblCellMar>
      </w:tblPr>
      <w:tblGrid>
        <w:gridCol w:w="915"/>
        <w:gridCol w:w="1450"/>
        <w:gridCol w:w="2211"/>
        <w:gridCol w:w="4996"/>
        <w:gridCol w:w="2464"/>
        <w:gridCol w:w="1407"/>
      </w:tblGrid>
      <w:tr>
        <w:tblPrEx>
          <w:tblCellMar>
            <w:top w:w="0" w:type="dxa"/>
            <w:left w:w="108" w:type="dxa"/>
            <w:bottom w:w="0" w:type="dxa"/>
            <w:right w:w="108" w:type="dxa"/>
          </w:tblCellMar>
        </w:tblPrEx>
        <w:trPr>
          <w:trHeight w:val="270" w:hRule="atLeast"/>
          <w:tblHeader/>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序号</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22"/>
                <w:lang w:eastAsia="zh-CN"/>
              </w:rPr>
            </w:pPr>
            <w:r>
              <w:rPr>
                <w:rFonts w:hint="eastAsia" w:ascii="仿宋_GB2312" w:hAnsi="宋体" w:eastAsia="仿宋_GB2312" w:cs="宋体"/>
                <w:b/>
                <w:bCs/>
                <w:color w:val="000000"/>
                <w:kern w:val="0"/>
                <w:sz w:val="22"/>
                <w:lang w:eastAsia="zh-CN"/>
              </w:rPr>
              <w:t>一级指标</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22"/>
                <w:lang w:eastAsia="zh-CN"/>
              </w:rPr>
            </w:pPr>
            <w:r>
              <w:rPr>
                <w:rFonts w:hint="eastAsia" w:ascii="仿宋_GB2312" w:hAnsi="宋体" w:eastAsia="仿宋_GB2312" w:cs="宋体"/>
                <w:b/>
                <w:bCs/>
                <w:color w:val="000000"/>
                <w:kern w:val="0"/>
                <w:sz w:val="22"/>
                <w:lang w:eastAsia="zh-CN"/>
              </w:rPr>
              <w:t>二级指标</w:t>
            </w:r>
          </w:p>
        </w:tc>
        <w:tc>
          <w:tcPr>
            <w:tcW w:w="18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22"/>
                <w:lang w:eastAsia="zh-CN"/>
              </w:rPr>
            </w:pPr>
            <w:r>
              <w:rPr>
                <w:rFonts w:hint="eastAsia" w:ascii="仿宋_GB2312" w:hAnsi="宋体" w:eastAsia="仿宋_GB2312" w:cs="宋体"/>
                <w:b/>
                <w:bCs/>
                <w:color w:val="000000"/>
                <w:kern w:val="0"/>
                <w:sz w:val="22"/>
                <w:lang w:eastAsia="zh-CN"/>
              </w:rPr>
              <w:t>赋分标准</w:t>
            </w:r>
          </w:p>
        </w:tc>
        <w:tc>
          <w:tcPr>
            <w:tcW w:w="9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22"/>
                <w:lang w:eastAsia="zh-CN"/>
              </w:rPr>
            </w:pPr>
            <w:r>
              <w:rPr>
                <w:rFonts w:hint="eastAsia" w:ascii="仿宋_GB2312" w:hAnsi="宋体" w:eastAsia="仿宋_GB2312" w:cs="宋体"/>
                <w:b/>
                <w:bCs/>
                <w:color w:val="000000"/>
                <w:kern w:val="0"/>
                <w:sz w:val="22"/>
                <w:lang w:eastAsia="zh-CN"/>
              </w:rPr>
              <w:t>评估方式</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评估得分</w:t>
            </w:r>
          </w:p>
        </w:tc>
      </w:tr>
      <w:tr>
        <w:tblPrEx>
          <w:tblCellMar>
            <w:top w:w="0" w:type="dxa"/>
            <w:left w:w="108" w:type="dxa"/>
            <w:bottom w:w="0" w:type="dxa"/>
            <w:right w:w="108" w:type="dxa"/>
          </w:tblCellMar>
        </w:tblPrEx>
        <w:trPr>
          <w:trHeight w:val="23"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539"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线路     （10分）</w:t>
            </w:r>
          </w:p>
        </w:tc>
        <w:tc>
          <w:tcPr>
            <w:tcW w:w="82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营运里程（3分）</w:t>
            </w:r>
          </w:p>
        </w:tc>
        <w:tc>
          <w:tcPr>
            <w:tcW w:w="18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营运里程超过800公里的，每超出100公里扣</w:t>
            </w:r>
            <w:r>
              <w:rPr>
                <w:rFonts w:hint="default" w:ascii="仿宋_GB2312" w:hAnsi="宋体" w:eastAsia="仿宋_GB2312" w:cs="宋体"/>
                <w:color w:val="000000"/>
                <w:kern w:val="0"/>
                <w:sz w:val="22"/>
              </w:rPr>
              <w:t>0.5</w:t>
            </w:r>
            <w:r>
              <w:rPr>
                <w:rFonts w:hint="eastAsia" w:ascii="仿宋_GB2312" w:hAnsi="宋体" w:eastAsia="仿宋_GB2312" w:cs="宋体"/>
                <w:color w:val="000000"/>
                <w:kern w:val="0"/>
                <w:sz w:val="22"/>
              </w:rPr>
              <w:t>分，扣完为止。</w:t>
            </w:r>
          </w:p>
        </w:tc>
        <w:tc>
          <w:tcPr>
            <w:tcW w:w="91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使用社会公众常用的地图导航软件，按照线路起讫地、中途停靠地客运站点和途经路线核查里程。</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3"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539"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途经风险路段（5分）</w:t>
            </w:r>
          </w:p>
        </w:tc>
        <w:tc>
          <w:tcPr>
            <w:tcW w:w="18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运营线路途经1处事故易发路段扣</w:t>
            </w:r>
            <w:r>
              <w:rPr>
                <w:rFonts w:hint="default" w:ascii="仿宋_GB2312" w:hAnsi="宋体" w:eastAsia="仿宋_GB2312" w:cs="宋体"/>
                <w:color w:val="000000"/>
                <w:kern w:val="0"/>
                <w:sz w:val="22"/>
              </w:rPr>
              <w:t>0.5</w:t>
            </w:r>
            <w:r>
              <w:rPr>
                <w:rFonts w:hint="eastAsia" w:ascii="仿宋_GB2312" w:hAnsi="宋体" w:eastAsia="仿宋_GB2312" w:cs="宋体"/>
                <w:color w:val="000000"/>
                <w:kern w:val="0"/>
                <w:sz w:val="22"/>
              </w:rPr>
              <w:t>分，扣完为止</w:t>
            </w:r>
            <w:r>
              <w:rPr>
                <w:rFonts w:hint="eastAsia" w:ascii="仿宋_GB2312" w:hAnsi="宋体" w:eastAsia="仿宋_GB2312" w:cs="宋体"/>
                <w:color w:val="000000"/>
                <w:kern w:val="0"/>
                <w:sz w:val="22"/>
                <w:lang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运营线路</w:t>
            </w:r>
            <w:r>
              <w:rPr>
                <w:rFonts w:hint="eastAsia" w:ascii="仿宋_GB2312" w:hAnsi="宋体" w:eastAsia="仿宋_GB2312" w:cs="宋体"/>
                <w:color w:val="000000"/>
                <w:kern w:val="0"/>
                <w:sz w:val="22"/>
              </w:rPr>
              <w:t>途经1个特长隧道扣</w:t>
            </w:r>
            <w:r>
              <w:rPr>
                <w:rFonts w:hint="default" w:ascii="仿宋_GB2312" w:hAnsi="宋体" w:eastAsia="仿宋_GB2312" w:cs="宋体"/>
                <w:color w:val="000000"/>
                <w:kern w:val="0"/>
                <w:sz w:val="22"/>
              </w:rPr>
              <w:t>0.5</w:t>
            </w:r>
            <w:r>
              <w:rPr>
                <w:rFonts w:hint="eastAsia" w:ascii="仿宋_GB2312" w:hAnsi="宋体" w:eastAsia="仿宋_GB2312" w:cs="宋体"/>
                <w:color w:val="000000"/>
                <w:kern w:val="0"/>
                <w:sz w:val="22"/>
              </w:rPr>
              <w:t>分，扣完为止</w:t>
            </w:r>
            <w:r>
              <w:rPr>
                <w:rFonts w:hint="eastAsia" w:ascii="仿宋_GB2312" w:hAnsi="宋体" w:eastAsia="仿宋_GB2312" w:cs="宋体"/>
                <w:color w:val="000000"/>
                <w:kern w:val="0"/>
                <w:sz w:val="22"/>
                <w:lang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运营线路</w:t>
            </w:r>
            <w:r>
              <w:rPr>
                <w:rFonts w:hint="eastAsia" w:ascii="仿宋_GB2312" w:hAnsi="宋体" w:eastAsia="仿宋_GB2312" w:cs="宋体"/>
                <w:color w:val="000000"/>
                <w:kern w:val="0"/>
                <w:sz w:val="22"/>
              </w:rPr>
              <w:t>途经1座特大桥扣</w:t>
            </w:r>
            <w:r>
              <w:rPr>
                <w:rFonts w:hint="default" w:ascii="仿宋_GB2312" w:hAnsi="宋体" w:eastAsia="仿宋_GB2312" w:cs="宋体"/>
                <w:color w:val="000000"/>
                <w:kern w:val="0"/>
                <w:sz w:val="22"/>
              </w:rPr>
              <w:t>0.5</w:t>
            </w:r>
            <w:r>
              <w:rPr>
                <w:rFonts w:hint="eastAsia" w:ascii="仿宋_GB2312" w:hAnsi="宋体" w:eastAsia="仿宋_GB2312" w:cs="宋体"/>
                <w:color w:val="000000"/>
                <w:kern w:val="0"/>
                <w:sz w:val="22"/>
              </w:rPr>
              <w:t>分，扣完为止</w:t>
            </w:r>
            <w:r>
              <w:rPr>
                <w:rFonts w:hint="eastAsia" w:ascii="仿宋_GB2312" w:hAnsi="宋体" w:eastAsia="仿宋_GB2312" w:cs="宋体"/>
                <w:color w:val="000000"/>
                <w:kern w:val="0"/>
                <w:sz w:val="22"/>
                <w:lang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运营线路</w:t>
            </w:r>
            <w:r>
              <w:rPr>
                <w:rFonts w:hint="eastAsia" w:ascii="仿宋_GB2312" w:hAnsi="宋体" w:eastAsia="仿宋_GB2312" w:cs="宋体"/>
                <w:color w:val="000000"/>
                <w:kern w:val="0"/>
                <w:sz w:val="22"/>
              </w:rPr>
              <w:t>途经1个连续下坡路段扣</w:t>
            </w:r>
            <w:r>
              <w:rPr>
                <w:rFonts w:hint="default" w:ascii="仿宋_GB2312" w:hAnsi="宋体" w:eastAsia="仿宋_GB2312" w:cs="宋体"/>
                <w:color w:val="000000"/>
                <w:kern w:val="0"/>
                <w:sz w:val="22"/>
              </w:rPr>
              <w:t>0.5</w:t>
            </w:r>
            <w:r>
              <w:rPr>
                <w:rFonts w:hint="eastAsia" w:ascii="仿宋_GB2312" w:hAnsi="宋体" w:eastAsia="仿宋_GB2312" w:cs="宋体"/>
                <w:color w:val="000000"/>
                <w:kern w:val="0"/>
                <w:sz w:val="22"/>
              </w:rPr>
              <w:t>分，扣完为止。</w:t>
            </w:r>
          </w:p>
        </w:tc>
        <w:tc>
          <w:tcPr>
            <w:tcW w:w="91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开车</w:t>
            </w:r>
            <w:r>
              <w:rPr>
                <w:rFonts w:hint="eastAsia" w:ascii="仿宋_GB2312" w:hAnsi="宋体" w:eastAsia="仿宋_GB2312" w:cs="宋体"/>
                <w:color w:val="000000"/>
                <w:kern w:val="0"/>
                <w:sz w:val="22"/>
              </w:rPr>
              <w:t>沿运行线路实地</w:t>
            </w:r>
            <w:r>
              <w:rPr>
                <w:rFonts w:hint="eastAsia" w:ascii="仿宋_GB2312" w:hAnsi="宋体" w:eastAsia="仿宋_GB2312" w:cs="宋体"/>
                <w:color w:val="000000"/>
                <w:kern w:val="0"/>
                <w:sz w:val="22"/>
                <w:lang w:eastAsia="zh-CN"/>
              </w:rPr>
              <w:t>踏查或者核查申请人提供的线路沿线安全隐患路段的示意图，并附起点至讫点单程视频录像等实际线路考察情况作为佐证。</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3"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53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班线运输计划</w:t>
            </w:r>
            <w:r>
              <w:rPr>
                <w:rFonts w:hint="eastAsia" w:ascii="仿宋_GB2312" w:hAnsi="宋体" w:eastAsia="仿宋_GB2312" w:cs="宋体"/>
                <w:color w:val="000000"/>
                <w:kern w:val="0"/>
                <w:sz w:val="22"/>
              </w:rPr>
              <w:t>(2分)</w:t>
            </w:r>
          </w:p>
        </w:tc>
        <w:tc>
          <w:tcPr>
            <w:tcW w:w="18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夜间</w:t>
            </w:r>
            <w:r>
              <w:rPr>
                <w:rFonts w:hint="eastAsia" w:ascii="仿宋_GB2312" w:hAnsi="宋体" w:eastAsia="仿宋_GB2312" w:cs="宋体"/>
                <w:color w:val="000000"/>
                <w:kern w:val="0"/>
                <w:sz w:val="22"/>
              </w:rPr>
              <w:t>未实行接驳运输的</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此项不得分。</w:t>
            </w:r>
          </w:p>
        </w:tc>
        <w:tc>
          <w:tcPr>
            <w:tcW w:w="91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通过交通运输部接驳运输管理系统查看。</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3"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53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kern w:val="0"/>
                <w:sz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kern w:val="0"/>
                <w:sz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kern w:val="0"/>
                <w:sz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kern w:val="0"/>
                <w:sz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kern w:val="0"/>
                <w:sz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车辆     （20分）</w:t>
            </w:r>
          </w:p>
        </w:tc>
        <w:tc>
          <w:tcPr>
            <w:tcW w:w="82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车辆年限（</w:t>
            </w:r>
            <w:r>
              <w:rPr>
                <w:rFonts w:hint="eastAsia" w:ascii="仿宋_GB2312" w:hAnsi="宋体" w:eastAsia="仿宋_GB2312" w:cs="宋体"/>
                <w:color w:val="000000"/>
                <w:kern w:val="0"/>
                <w:sz w:val="22"/>
                <w:lang w:val="en-US" w:eastAsia="zh-CN"/>
              </w:rPr>
              <w:t>3</w:t>
            </w:r>
            <w:r>
              <w:rPr>
                <w:rFonts w:hint="eastAsia" w:ascii="仿宋_GB2312" w:hAnsi="宋体" w:eastAsia="仿宋_GB2312" w:cs="宋体"/>
                <w:color w:val="000000"/>
                <w:kern w:val="0"/>
                <w:sz w:val="22"/>
              </w:rPr>
              <w:t>分）</w:t>
            </w:r>
          </w:p>
        </w:tc>
        <w:tc>
          <w:tcPr>
            <w:tcW w:w="18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车辆</w:t>
            </w:r>
            <w:r>
              <w:rPr>
                <w:rFonts w:hint="eastAsia" w:ascii="仿宋_GB2312" w:hAnsi="宋体" w:eastAsia="仿宋_GB2312" w:cs="宋体"/>
                <w:color w:val="000000"/>
                <w:kern w:val="0"/>
                <w:sz w:val="22"/>
                <w:lang w:eastAsia="zh-CN"/>
              </w:rPr>
              <w:t>使用</w:t>
            </w:r>
            <w:r>
              <w:rPr>
                <w:rFonts w:hint="eastAsia" w:ascii="仿宋_GB2312" w:hAnsi="宋体" w:eastAsia="仿宋_GB2312" w:cs="宋体"/>
                <w:color w:val="000000"/>
                <w:kern w:val="0"/>
                <w:sz w:val="22"/>
              </w:rPr>
              <w:t>年限超过8年的，每超出1个月扣1分，扣完为止。</w:t>
            </w:r>
          </w:p>
        </w:tc>
        <w:tc>
          <w:tcPr>
            <w:tcW w:w="91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查看车辆行驶证</w:t>
            </w:r>
            <w:r>
              <w:rPr>
                <w:rFonts w:hint="eastAsia" w:ascii="仿宋_GB2312" w:hAnsi="宋体" w:eastAsia="仿宋_GB2312" w:cs="宋体"/>
                <w:color w:val="000000"/>
                <w:kern w:val="0"/>
                <w:sz w:val="22"/>
                <w:lang w:eastAsia="zh-CN"/>
              </w:rPr>
              <w:t>，从机动车初次登记日期计算。</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540"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车辆运行里程（</w:t>
            </w:r>
            <w:r>
              <w:rPr>
                <w:rFonts w:hint="eastAsia" w:ascii="仿宋_GB2312" w:hAnsi="宋体" w:eastAsia="仿宋_GB2312" w:cs="宋体"/>
                <w:color w:val="000000"/>
                <w:kern w:val="0"/>
                <w:sz w:val="22"/>
                <w:lang w:val="en-US" w:eastAsia="zh-CN"/>
              </w:rPr>
              <w:t>3</w:t>
            </w:r>
            <w:r>
              <w:rPr>
                <w:rFonts w:hint="eastAsia" w:ascii="仿宋_GB2312" w:hAnsi="宋体" w:eastAsia="仿宋_GB2312" w:cs="宋体"/>
                <w:color w:val="000000"/>
                <w:kern w:val="0"/>
                <w:sz w:val="22"/>
              </w:rPr>
              <w:t>分）</w:t>
            </w:r>
          </w:p>
        </w:tc>
        <w:tc>
          <w:tcPr>
            <w:tcW w:w="185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车辆行驶里程超过80万公里的，每超出1</w:t>
            </w:r>
            <w:r>
              <w:rPr>
                <w:rFonts w:hint="eastAsia" w:ascii="仿宋_GB2312" w:hAnsi="宋体" w:eastAsia="仿宋_GB2312" w:cs="宋体"/>
                <w:color w:val="000000"/>
                <w:kern w:val="0"/>
                <w:sz w:val="22"/>
                <w:lang w:eastAsia="zh-CN"/>
              </w:rPr>
              <w:t>万</w:t>
            </w:r>
            <w:r>
              <w:rPr>
                <w:rFonts w:hint="eastAsia" w:ascii="仿宋_GB2312" w:hAnsi="宋体" w:eastAsia="仿宋_GB2312" w:cs="宋体"/>
                <w:color w:val="000000"/>
                <w:kern w:val="0"/>
                <w:sz w:val="22"/>
              </w:rPr>
              <w:t>公里扣1分，扣完为止。</w:t>
            </w:r>
          </w:p>
        </w:tc>
        <w:tc>
          <w:tcPr>
            <w:tcW w:w="916"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查看车辆技术档案及里程表。</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540"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w:t>
            </w: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车型和核载人数</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w:t>
            </w:r>
            <w:r>
              <w:rPr>
                <w:rFonts w:hint="eastAsia" w:ascii="仿宋_GB2312" w:hAnsi="宋体" w:eastAsia="仿宋_GB2312" w:cs="宋体"/>
                <w:color w:val="000000"/>
                <w:kern w:val="0"/>
                <w:sz w:val="22"/>
                <w:lang w:val="en-US" w:eastAsia="zh-CN"/>
              </w:rPr>
              <w:t>4</w:t>
            </w:r>
            <w:r>
              <w:rPr>
                <w:rFonts w:hint="eastAsia" w:ascii="仿宋_GB2312" w:hAnsi="宋体" w:eastAsia="仿宋_GB2312" w:cs="宋体"/>
                <w:color w:val="000000"/>
                <w:kern w:val="0"/>
                <w:sz w:val="22"/>
              </w:rPr>
              <w:t>分）</w:t>
            </w:r>
          </w:p>
        </w:tc>
        <w:tc>
          <w:tcPr>
            <w:tcW w:w="185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车辆为卧铺客车或核载人数超过57人的</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此项不得分。</w:t>
            </w:r>
          </w:p>
        </w:tc>
        <w:tc>
          <w:tcPr>
            <w:tcW w:w="916"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实地查看</w:t>
            </w:r>
            <w:r>
              <w:rPr>
                <w:rFonts w:hint="eastAsia" w:ascii="仿宋_GB2312" w:hAnsi="宋体" w:eastAsia="仿宋_GB2312" w:cs="宋体"/>
                <w:color w:val="000000"/>
                <w:kern w:val="0"/>
                <w:sz w:val="22"/>
              </w:rPr>
              <w:t>车辆</w:t>
            </w:r>
            <w:r>
              <w:rPr>
                <w:rFonts w:hint="eastAsia" w:ascii="仿宋_GB2312" w:hAnsi="宋体" w:eastAsia="仿宋_GB2312" w:cs="宋体"/>
                <w:color w:val="000000"/>
                <w:kern w:val="0"/>
                <w:sz w:val="22"/>
                <w:lang w:eastAsia="zh-CN"/>
              </w:rPr>
              <w:t>及其</w:t>
            </w:r>
            <w:r>
              <w:rPr>
                <w:rFonts w:hint="eastAsia" w:ascii="仿宋_GB2312" w:hAnsi="宋体" w:eastAsia="仿宋_GB2312" w:cs="宋体"/>
                <w:color w:val="000000"/>
                <w:kern w:val="0"/>
                <w:sz w:val="22"/>
              </w:rPr>
              <w:t>行驶证。</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1080"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安全装置配备（5分）</w:t>
            </w:r>
          </w:p>
        </w:tc>
        <w:tc>
          <w:tcPr>
            <w:tcW w:w="185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车辆缺少</w:t>
            </w:r>
            <w:r>
              <w:rPr>
                <w:rFonts w:hint="eastAsia" w:ascii="仿宋_GB2312" w:hAnsi="宋体" w:eastAsia="仿宋_GB2312" w:cs="宋体"/>
                <w:color w:val="000000"/>
                <w:kern w:val="0"/>
                <w:sz w:val="22"/>
              </w:rPr>
              <w:t>电子稳定性控制系统</w:t>
            </w:r>
            <w:r>
              <w:rPr>
                <w:rFonts w:hint="eastAsia" w:ascii="仿宋_GB2312" w:hAnsi="宋体" w:eastAsia="仿宋_GB2312" w:cs="宋体"/>
                <w:color w:val="000000"/>
                <w:kern w:val="0"/>
                <w:sz w:val="22"/>
                <w:lang w:eastAsia="zh-CN"/>
              </w:rPr>
              <w:t>，扣</w:t>
            </w:r>
            <w:r>
              <w:rPr>
                <w:rFonts w:hint="eastAsia" w:ascii="仿宋_GB2312" w:hAnsi="宋体" w:eastAsia="仿宋_GB2312" w:cs="宋体"/>
                <w:color w:val="000000"/>
                <w:kern w:val="0"/>
                <w:sz w:val="22"/>
                <w:lang w:val="en-US" w:eastAsia="zh-CN"/>
              </w:rPr>
              <w:t>1分；</w:t>
            </w:r>
          </w:p>
          <w:p>
            <w:pPr>
              <w:widowControl/>
              <w:spacing w:line="400" w:lineRule="exact"/>
              <w:jc w:val="left"/>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车辆缺少</w:t>
            </w:r>
            <w:r>
              <w:rPr>
                <w:rFonts w:hint="eastAsia" w:ascii="仿宋_GB2312" w:hAnsi="宋体" w:eastAsia="仿宋_GB2312" w:cs="宋体"/>
                <w:color w:val="000000"/>
                <w:kern w:val="0"/>
                <w:sz w:val="22"/>
              </w:rPr>
              <w:t>车道偏离预警系统</w:t>
            </w:r>
            <w:r>
              <w:rPr>
                <w:rFonts w:hint="eastAsia" w:ascii="仿宋_GB2312" w:hAnsi="宋体" w:eastAsia="仿宋_GB2312" w:cs="宋体"/>
                <w:color w:val="000000"/>
                <w:kern w:val="0"/>
                <w:sz w:val="22"/>
                <w:lang w:eastAsia="zh-CN"/>
              </w:rPr>
              <w:t>，扣</w:t>
            </w:r>
            <w:r>
              <w:rPr>
                <w:rFonts w:hint="eastAsia" w:ascii="仿宋_GB2312" w:hAnsi="宋体" w:eastAsia="仿宋_GB2312" w:cs="宋体"/>
                <w:color w:val="000000"/>
                <w:kern w:val="0"/>
                <w:sz w:val="22"/>
                <w:lang w:val="en-US" w:eastAsia="zh-CN"/>
              </w:rPr>
              <w:t>1分；</w:t>
            </w:r>
          </w:p>
          <w:p>
            <w:pPr>
              <w:widowControl/>
              <w:spacing w:line="400" w:lineRule="exact"/>
              <w:jc w:val="left"/>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车辆缺少</w:t>
            </w:r>
            <w:r>
              <w:rPr>
                <w:rFonts w:hint="eastAsia" w:ascii="仿宋_GB2312" w:hAnsi="宋体" w:eastAsia="仿宋_GB2312" w:cs="宋体"/>
                <w:color w:val="000000"/>
                <w:kern w:val="0"/>
                <w:sz w:val="22"/>
              </w:rPr>
              <w:t>胎压监测系统</w:t>
            </w:r>
            <w:r>
              <w:rPr>
                <w:rFonts w:hint="eastAsia" w:ascii="仿宋_GB2312" w:hAnsi="宋体" w:eastAsia="仿宋_GB2312" w:cs="宋体"/>
                <w:color w:val="000000"/>
                <w:kern w:val="0"/>
                <w:sz w:val="22"/>
                <w:lang w:eastAsia="zh-CN"/>
              </w:rPr>
              <w:t>，扣</w:t>
            </w:r>
            <w:r>
              <w:rPr>
                <w:rFonts w:hint="eastAsia" w:ascii="仿宋_GB2312" w:hAnsi="宋体" w:eastAsia="仿宋_GB2312" w:cs="宋体"/>
                <w:color w:val="000000"/>
                <w:kern w:val="0"/>
                <w:sz w:val="22"/>
                <w:lang w:val="en-US" w:eastAsia="zh-CN"/>
              </w:rPr>
              <w:t>1分；</w:t>
            </w:r>
          </w:p>
          <w:p>
            <w:pPr>
              <w:widowControl/>
              <w:spacing w:line="400" w:lineRule="exact"/>
              <w:jc w:val="left"/>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val="en-US" w:eastAsia="zh-CN"/>
              </w:rPr>
              <w:t>车辆缺少</w:t>
            </w:r>
            <w:r>
              <w:rPr>
                <w:rFonts w:hint="eastAsia" w:ascii="仿宋_GB2312" w:hAnsi="宋体" w:eastAsia="仿宋_GB2312" w:cs="宋体"/>
                <w:color w:val="000000"/>
                <w:kern w:val="0"/>
                <w:sz w:val="22"/>
              </w:rPr>
              <w:t>爆胎应急安全装置</w:t>
            </w:r>
            <w:r>
              <w:rPr>
                <w:rFonts w:hint="eastAsia" w:ascii="仿宋_GB2312" w:hAnsi="宋体" w:eastAsia="仿宋_GB2312" w:cs="宋体"/>
                <w:color w:val="000000"/>
                <w:kern w:val="0"/>
                <w:sz w:val="22"/>
                <w:lang w:eastAsia="zh-CN"/>
              </w:rPr>
              <w:t>，扣</w:t>
            </w:r>
            <w:r>
              <w:rPr>
                <w:rFonts w:hint="eastAsia" w:ascii="仿宋_GB2312" w:hAnsi="宋体" w:eastAsia="仿宋_GB2312" w:cs="宋体"/>
                <w:color w:val="000000"/>
                <w:kern w:val="0"/>
                <w:sz w:val="22"/>
                <w:lang w:val="en-US" w:eastAsia="zh-CN"/>
              </w:rPr>
              <w:t>1分</w:t>
            </w:r>
            <w:r>
              <w:rPr>
                <w:rFonts w:hint="eastAsia" w:ascii="仿宋_GB2312" w:hAnsi="宋体" w:eastAsia="仿宋_GB2312" w:cs="宋体"/>
                <w:color w:val="000000"/>
                <w:kern w:val="0"/>
                <w:sz w:val="22"/>
                <w:lang w:eastAsia="zh-CN"/>
              </w:rPr>
              <w:t>；</w:t>
            </w:r>
          </w:p>
          <w:p>
            <w:pPr>
              <w:widowControl/>
              <w:spacing w:line="400" w:lineRule="exact"/>
              <w:jc w:val="left"/>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车辆缺少</w:t>
            </w:r>
            <w:r>
              <w:rPr>
                <w:rFonts w:hint="eastAsia" w:ascii="仿宋_GB2312" w:hAnsi="宋体" w:eastAsia="仿宋_GB2312" w:cs="宋体"/>
                <w:color w:val="000000"/>
                <w:kern w:val="0"/>
                <w:sz w:val="22"/>
              </w:rPr>
              <w:t>智能视频监控装置</w:t>
            </w:r>
            <w:r>
              <w:rPr>
                <w:rFonts w:hint="eastAsia" w:ascii="仿宋_GB2312" w:hAnsi="宋体" w:eastAsia="仿宋_GB2312" w:cs="宋体"/>
                <w:color w:val="000000"/>
                <w:kern w:val="0"/>
                <w:sz w:val="22"/>
                <w:lang w:eastAsia="zh-CN"/>
              </w:rPr>
              <w:t>，扣</w:t>
            </w:r>
            <w:r>
              <w:rPr>
                <w:rFonts w:hint="eastAsia" w:ascii="仿宋_GB2312" w:hAnsi="宋体" w:eastAsia="仿宋_GB2312" w:cs="宋体"/>
                <w:color w:val="000000"/>
                <w:kern w:val="0"/>
                <w:sz w:val="22"/>
                <w:lang w:val="en-US" w:eastAsia="zh-CN"/>
              </w:rPr>
              <w:t>1分</w:t>
            </w:r>
            <w:r>
              <w:rPr>
                <w:rFonts w:hint="eastAsia" w:ascii="仿宋_GB2312" w:hAnsi="宋体" w:eastAsia="仿宋_GB2312" w:cs="宋体"/>
                <w:color w:val="000000"/>
                <w:kern w:val="0"/>
                <w:sz w:val="22"/>
              </w:rPr>
              <w:t>，</w:t>
            </w:r>
            <w:r>
              <w:rPr>
                <w:rFonts w:hint="eastAsia" w:ascii="仿宋_GB2312" w:hAnsi="宋体" w:eastAsia="仿宋_GB2312" w:cs="宋体"/>
                <w:color w:val="000000"/>
                <w:kern w:val="0"/>
                <w:sz w:val="22"/>
                <w:lang w:eastAsia="zh-CN"/>
              </w:rPr>
              <w:t>扣完为止。</w:t>
            </w:r>
          </w:p>
        </w:tc>
        <w:tc>
          <w:tcPr>
            <w:tcW w:w="916"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查看车辆说明书及实车配置情况。</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527"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w:t>
            </w: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经营模式（</w:t>
            </w:r>
            <w:r>
              <w:rPr>
                <w:rFonts w:hint="eastAsia" w:ascii="仿宋_GB2312" w:hAnsi="宋体" w:eastAsia="仿宋_GB2312" w:cs="宋体"/>
                <w:color w:val="000000"/>
                <w:kern w:val="0"/>
                <w:sz w:val="22"/>
                <w:lang w:val="en-US" w:eastAsia="zh-CN"/>
              </w:rPr>
              <w:t>5</w:t>
            </w:r>
            <w:r>
              <w:rPr>
                <w:rFonts w:hint="eastAsia" w:ascii="仿宋_GB2312" w:hAnsi="宋体" w:eastAsia="仿宋_GB2312" w:cs="宋体"/>
                <w:color w:val="000000"/>
                <w:kern w:val="0"/>
                <w:sz w:val="22"/>
              </w:rPr>
              <w:t>分）</w:t>
            </w:r>
          </w:p>
        </w:tc>
        <w:tc>
          <w:tcPr>
            <w:tcW w:w="185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车辆实行承包经营的</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此项不得分。</w:t>
            </w:r>
          </w:p>
        </w:tc>
        <w:tc>
          <w:tcPr>
            <w:tcW w:w="916"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查看</w:t>
            </w:r>
            <w:r>
              <w:rPr>
                <w:rFonts w:hint="eastAsia" w:ascii="仿宋_GB2312" w:hAnsi="宋体" w:eastAsia="仿宋_GB2312" w:cs="宋体"/>
                <w:color w:val="000000"/>
                <w:kern w:val="0"/>
                <w:sz w:val="22"/>
              </w:rPr>
              <w:t>与驾驶员签订的劳动合同、缴纳社会保险记录</w:t>
            </w:r>
            <w:r>
              <w:rPr>
                <w:rFonts w:hint="eastAsia" w:ascii="仿宋_GB2312" w:hAnsi="宋体" w:eastAsia="仿宋_GB2312" w:cs="宋体"/>
                <w:color w:val="000000"/>
                <w:kern w:val="0"/>
                <w:sz w:val="22"/>
                <w:lang w:eastAsia="zh-CN"/>
              </w:rPr>
              <w:t>。</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93"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仿宋_GB2312" w:hAnsi="宋体" w:eastAsia="仿宋_GB2312" w:cs="宋体"/>
                <w:color w:val="000000"/>
                <w:kern w:val="0"/>
                <w:sz w:val="22"/>
              </w:rPr>
            </w:pPr>
          </w:p>
          <w:p>
            <w:pPr>
              <w:widowControl/>
              <w:spacing w:line="400" w:lineRule="exact"/>
              <w:jc w:val="center"/>
              <w:rPr>
                <w:rFonts w:hint="default" w:ascii="仿宋_GB2312" w:hAnsi="宋体" w:eastAsia="仿宋_GB2312" w:cs="宋体"/>
                <w:color w:val="000000"/>
                <w:kern w:val="0"/>
                <w:sz w:val="22"/>
              </w:rPr>
            </w:pPr>
            <w:r>
              <w:rPr>
                <w:rFonts w:hint="default" w:ascii="仿宋_GB2312" w:hAnsi="宋体" w:eastAsia="仿宋_GB2312" w:cs="宋体"/>
                <w:color w:val="000000"/>
                <w:kern w:val="0"/>
                <w:sz w:val="22"/>
              </w:rPr>
              <w:t>9</w:t>
            </w:r>
          </w:p>
        </w:tc>
        <w:tc>
          <w:tcPr>
            <w:tcW w:w="539"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2"/>
              </w:rPr>
            </w:pPr>
          </w:p>
          <w:p>
            <w:pPr>
              <w:widowControl/>
              <w:spacing w:line="400" w:lineRule="exact"/>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从业人员</w:t>
            </w:r>
          </w:p>
          <w:p>
            <w:pPr>
              <w:widowControl/>
              <w:spacing w:line="400" w:lineRule="exact"/>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lang w:val="en-US" w:eastAsia="zh-CN"/>
              </w:rPr>
              <w:t>30分</w:t>
            </w:r>
            <w:r>
              <w:rPr>
                <w:rFonts w:hint="eastAsia" w:ascii="仿宋_GB2312" w:hAnsi="宋体" w:eastAsia="仿宋_GB2312" w:cs="宋体"/>
                <w:color w:val="000000"/>
                <w:kern w:val="0"/>
                <w:sz w:val="22"/>
                <w:lang w:eastAsia="zh-CN"/>
              </w:rPr>
              <w:t>）</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企业主要负责人和安全管理人员</w:t>
            </w:r>
          </w:p>
          <w:p>
            <w:pPr>
              <w:widowControl/>
              <w:spacing w:line="400" w:lineRule="exact"/>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rPr>
              <w:t>（5分）</w:t>
            </w:r>
          </w:p>
        </w:tc>
        <w:tc>
          <w:tcPr>
            <w:tcW w:w="185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企业主要负责人</w:t>
            </w:r>
            <w:r>
              <w:rPr>
                <w:rFonts w:hint="eastAsia" w:ascii="仿宋_GB2312" w:hAnsi="宋体" w:eastAsia="仿宋_GB2312" w:cs="宋体"/>
                <w:color w:val="000000"/>
                <w:kern w:val="0"/>
                <w:sz w:val="22"/>
                <w:lang w:eastAsia="zh-CN"/>
              </w:rPr>
              <w:t>和安全管理人员</w:t>
            </w:r>
            <w:r>
              <w:rPr>
                <w:rFonts w:hint="eastAsia" w:ascii="仿宋_GB2312" w:hAnsi="宋体" w:eastAsia="仿宋_GB2312" w:cs="宋体"/>
                <w:color w:val="000000"/>
                <w:kern w:val="0"/>
                <w:sz w:val="22"/>
              </w:rPr>
              <w:t>未通过安全生产知识和管理能力考核</w:t>
            </w:r>
            <w:r>
              <w:rPr>
                <w:rFonts w:hint="eastAsia" w:ascii="仿宋_GB2312" w:hAnsi="宋体" w:eastAsia="仿宋_GB2312" w:cs="宋体"/>
                <w:color w:val="000000"/>
                <w:kern w:val="0"/>
                <w:sz w:val="22"/>
                <w:lang w:eastAsia="zh-CN"/>
              </w:rPr>
              <w:t>的，</w:t>
            </w:r>
            <w:r>
              <w:rPr>
                <w:rFonts w:hint="eastAsia" w:ascii="仿宋_GB2312" w:hAnsi="宋体" w:eastAsia="仿宋_GB2312" w:cs="宋体"/>
                <w:color w:val="000000"/>
                <w:kern w:val="0"/>
                <w:sz w:val="22"/>
              </w:rPr>
              <w:t>此项不得分；</w:t>
            </w:r>
          </w:p>
          <w:p>
            <w:pPr>
              <w:widowControl/>
              <w:spacing w:line="400" w:lineRule="exact"/>
              <w:jc w:val="left"/>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企业安全管理人员配备数量不达标的</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此项不得分</w:t>
            </w:r>
            <w:r>
              <w:rPr>
                <w:rFonts w:hint="eastAsia" w:ascii="仿宋_GB2312" w:hAnsi="宋体" w:eastAsia="仿宋_GB2312" w:cs="宋体"/>
                <w:color w:val="000000"/>
                <w:kern w:val="0"/>
                <w:sz w:val="22"/>
                <w:lang w:eastAsia="zh-CN"/>
              </w:rPr>
              <w:t>；</w:t>
            </w:r>
          </w:p>
          <w:p>
            <w:pPr>
              <w:widowControl/>
              <w:spacing w:line="400" w:lineRule="exact"/>
              <w:jc w:val="left"/>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lang w:eastAsia="zh-CN"/>
              </w:rPr>
              <w:t>客运企业主要负责人和安全管理人员初次安全生产教育培训时间少于24学时，每年再培训时间少于12学时的，此项不得分。</w:t>
            </w:r>
          </w:p>
        </w:tc>
        <w:tc>
          <w:tcPr>
            <w:tcW w:w="916"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bidi="ar-SA"/>
              </w:rPr>
              <w:t>按照《道路旅客运输企业安全管理规范》相关标准，实地核查客运企业主要负责人和安全管理人员配备、相关考核合格证明情况以及培训记录等。</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1191"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default" w:ascii="仿宋_GB2312" w:hAnsi="宋体" w:eastAsia="仿宋_GB2312" w:cs="宋体"/>
                <w:color w:val="000000"/>
                <w:kern w:val="0"/>
                <w:sz w:val="22"/>
              </w:rPr>
            </w:pPr>
            <w:r>
              <w:rPr>
                <w:rFonts w:hint="default" w:ascii="仿宋_GB2312" w:hAnsi="宋体" w:eastAsia="仿宋_GB2312" w:cs="宋体"/>
                <w:color w:val="000000"/>
                <w:kern w:val="0"/>
                <w:sz w:val="22"/>
              </w:rPr>
              <w:t>10</w:t>
            </w:r>
          </w:p>
        </w:tc>
        <w:tc>
          <w:tcPr>
            <w:tcW w:w="539"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驾驶员</w:t>
            </w:r>
            <w:r>
              <w:rPr>
                <w:rFonts w:hint="eastAsia" w:ascii="仿宋_GB2312" w:hAnsi="宋体" w:eastAsia="仿宋_GB2312" w:cs="宋体"/>
                <w:color w:val="000000"/>
                <w:kern w:val="0"/>
                <w:sz w:val="22"/>
                <w:lang w:eastAsia="zh-CN"/>
              </w:rPr>
              <w:t>继续教育</w:t>
            </w:r>
          </w:p>
          <w:p>
            <w:pPr>
              <w:widowControl/>
              <w:spacing w:line="400" w:lineRule="exact"/>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rPr>
              <w:t>（</w:t>
            </w:r>
            <w:r>
              <w:rPr>
                <w:rFonts w:hint="eastAsia" w:ascii="仿宋_GB2312" w:hAnsi="宋体" w:eastAsia="仿宋_GB2312" w:cs="宋体"/>
                <w:color w:val="000000"/>
                <w:kern w:val="0"/>
                <w:sz w:val="22"/>
                <w:lang w:val="en-US" w:eastAsia="zh-CN"/>
              </w:rPr>
              <w:t>5</w:t>
            </w:r>
            <w:r>
              <w:rPr>
                <w:rFonts w:hint="eastAsia" w:ascii="仿宋_GB2312" w:hAnsi="宋体" w:eastAsia="仿宋_GB2312" w:cs="宋体"/>
                <w:color w:val="000000"/>
                <w:kern w:val="0"/>
                <w:sz w:val="22"/>
              </w:rPr>
              <w:t>分）</w:t>
            </w:r>
          </w:p>
        </w:tc>
        <w:tc>
          <w:tcPr>
            <w:tcW w:w="18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bidi="ar-SA"/>
              </w:rPr>
              <w:t>未对客运驾驶员进行统一培训，安全教育培训每月少于1次，每次少于2学时的，此项不得分。</w:t>
            </w:r>
          </w:p>
        </w:tc>
        <w:tc>
          <w:tcPr>
            <w:tcW w:w="91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rPr>
              <w:t>抽查从业人员档案及有关培训记录。</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rFonts w:hint="eastAsia" w:ascii="仿宋_GB2312" w:hAnsi="宋体" w:eastAsia="仿宋_GB2312" w:cs="宋体"/>
                <w:color w:val="000000"/>
                <w:kern w:val="0"/>
                <w:sz w:val="22"/>
                <w:szCs w:val="22"/>
                <w:lang w:val="en-US" w:eastAsia="zh-CN" w:bidi="ar-SA"/>
              </w:rPr>
            </w:pPr>
          </w:p>
        </w:tc>
      </w:tr>
      <w:tr>
        <w:tblPrEx>
          <w:tblCellMar>
            <w:top w:w="0" w:type="dxa"/>
            <w:left w:w="108" w:type="dxa"/>
            <w:bottom w:w="0" w:type="dxa"/>
            <w:right w:w="108" w:type="dxa"/>
          </w:tblCellMar>
        </w:tblPrEx>
        <w:trPr>
          <w:trHeight w:val="1191"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default" w:ascii="仿宋_GB2312" w:hAnsi="宋体" w:eastAsia="仿宋_GB2312" w:cs="宋体"/>
                <w:color w:val="000000"/>
                <w:kern w:val="0"/>
                <w:sz w:val="22"/>
              </w:rPr>
            </w:pPr>
            <w:r>
              <w:rPr>
                <w:rFonts w:hint="default" w:ascii="仿宋_GB2312" w:hAnsi="宋体" w:eastAsia="仿宋_GB2312" w:cs="宋体"/>
                <w:color w:val="000000"/>
                <w:kern w:val="0"/>
                <w:sz w:val="22"/>
              </w:rPr>
              <w:t>11</w:t>
            </w: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驾驶员</w:t>
            </w:r>
            <w:r>
              <w:rPr>
                <w:rFonts w:hint="eastAsia" w:ascii="仿宋_GB2312" w:hAnsi="宋体" w:eastAsia="仿宋_GB2312" w:cs="宋体"/>
                <w:color w:val="000000"/>
                <w:kern w:val="0"/>
                <w:sz w:val="22"/>
                <w:lang w:eastAsia="zh-CN"/>
              </w:rPr>
              <w:t>参加诚信考核</w:t>
            </w:r>
          </w:p>
          <w:p>
            <w:pPr>
              <w:widowControl/>
              <w:spacing w:line="400" w:lineRule="exact"/>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rPr>
              <w:t>（</w:t>
            </w:r>
            <w:r>
              <w:rPr>
                <w:rFonts w:hint="eastAsia" w:ascii="仿宋_GB2312" w:hAnsi="宋体" w:eastAsia="仿宋_GB2312" w:cs="宋体"/>
                <w:color w:val="000000"/>
                <w:kern w:val="0"/>
                <w:sz w:val="22"/>
                <w:lang w:val="en-US" w:eastAsia="zh-CN"/>
              </w:rPr>
              <w:t>5</w:t>
            </w:r>
            <w:r>
              <w:rPr>
                <w:rFonts w:hint="eastAsia" w:ascii="仿宋_GB2312" w:hAnsi="宋体" w:eastAsia="仿宋_GB2312" w:cs="宋体"/>
                <w:color w:val="000000"/>
                <w:kern w:val="0"/>
                <w:sz w:val="22"/>
              </w:rPr>
              <w:t>分）</w:t>
            </w:r>
          </w:p>
        </w:tc>
        <w:tc>
          <w:tcPr>
            <w:tcW w:w="18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bidi="ar-SA"/>
              </w:rPr>
              <w:t>客运企业未按规定对驾驶员从业行为（包括客运驾驶员违法违规情况、交通事故情况、道路运输车辆动态监控平台和视频监控系统发现的违规驾驶情况、服务质量、安全运营情况、安全操作规程执行情况以及参加教育培训情况）进行定期考核，或者考核周期大于3个月的，此项不得分。</w:t>
            </w:r>
          </w:p>
        </w:tc>
        <w:tc>
          <w:tcPr>
            <w:tcW w:w="91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lang w:eastAsia="zh-CN"/>
              </w:rPr>
              <w:t>实地检查客运</w:t>
            </w:r>
            <w:r>
              <w:rPr>
                <w:rFonts w:hint="eastAsia" w:ascii="仿宋_GB2312" w:hAnsi="宋体" w:eastAsia="仿宋_GB2312" w:cs="宋体"/>
                <w:color w:val="000000"/>
                <w:kern w:val="0"/>
                <w:sz w:val="22"/>
              </w:rPr>
              <w:t>企业有关考核记录</w:t>
            </w:r>
            <w:r>
              <w:rPr>
                <w:rFonts w:hint="eastAsia" w:ascii="仿宋_GB2312" w:hAnsi="宋体" w:eastAsia="仿宋_GB2312" w:cs="宋体"/>
                <w:color w:val="000000"/>
                <w:kern w:val="0"/>
                <w:sz w:val="22"/>
                <w:lang w:eastAsia="zh-CN"/>
              </w:rPr>
              <w:t>。</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hint="eastAsia" w:ascii="仿宋_GB2312" w:hAnsi="宋体" w:eastAsia="仿宋_GB2312" w:cs="宋体"/>
                <w:color w:val="000000"/>
                <w:kern w:val="0"/>
                <w:sz w:val="22"/>
                <w:szCs w:val="22"/>
                <w:lang w:val="en-US" w:eastAsia="zh-CN" w:bidi="ar-SA"/>
              </w:rPr>
            </w:pPr>
          </w:p>
        </w:tc>
      </w:tr>
      <w:tr>
        <w:tblPrEx>
          <w:tblCellMar>
            <w:top w:w="0" w:type="dxa"/>
            <w:left w:w="108" w:type="dxa"/>
            <w:bottom w:w="0" w:type="dxa"/>
            <w:right w:w="108" w:type="dxa"/>
          </w:tblCellMar>
        </w:tblPrEx>
        <w:trPr>
          <w:trHeight w:val="1191"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default" w:ascii="仿宋_GB2312" w:hAnsi="宋体" w:eastAsia="仿宋_GB2312" w:cs="宋体"/>
                <w:color w:val="000000"/>
                <w:kern w:val="0"/>
                <w:sz w:val="22"/>
              </w:rPr>
            </w:pPr>
            <w:r>
              <w:rPr>
                <w:rFonts w:hint="default" w:ascii="仿宋_GB2312" w:hAnsi="宋体" w:eastAsia="仿宋_GB2312" w:cs="宋体"/>
                <w:color w:val="000000"/>
                <w:kern w:val="0"/>
                <w:sz w:val="22"/>
              </w:rPr>
              <w:t>12</w:t>
            </w: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lang w:eastAsia="zh-CN"/>
              </w:rPr>
              <w:t>驾驶员“四色”管理</w:t>
            </w:r>
            <w:r>
              <w:rPr>
                <w:rFonts w:hint="eastAsia" w:ascii="仿宋_GB2312" w:hAnsi="宋体" w:eastAsia="仿宋_GB2312" w:cs="宋体"/>
                <w:color w:val="000000"/>
                <w:kern w:val="0"/>
                <w:sz w:val="22"/>
              </w:rPr>
              <w:t>（</w:t>
            </w:r>
            <w:r>
              <w:rPr>
                <w:rFonts w:hint="eastAsia" w:ascii="仿宋_GB2312" w:hAnsi="宋体" w:eastAsia="仿宋_GB2312" w:cs="宋体"/>
                <w:color w:val="000000"/>
                <w:kern w:val="0"/>
                <w:sz w:val="22"/>
                <w:lang w:val="en-US" w:eastAsia="zh-CN"/>
              </w:rPr>
              <w:t>5</w:t>
            </w:r>
            <w:r>
              <w:rPr>
                <w:rFonts w:hint="eastAsia" w:ascii="仿宋_GB2312" w:hAnsi="宋体" w:eastAsia="仿宋_GB2312" w:cs="宋体"/>
                <w:color w:val="000000"/>
                <w:kern w:val="0"/>
                <w:sz w:val="22"/>
              </w:rPr>
              <w:t>分）</w:t>
            </w:r>
          </w:p>
        </w:tc>
        <w:tc>
          <w:tcPr>
            <w:tcW w:w="18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lang w:val="en-US" w:eastAsia="zh-CN"/>
              </w:rPr>
              <w:t>客运企业存在“黑色”驾驶员的，每个扣1分，扣完为止。</w:t>
            </w:r>
          </w:p>
        </w:tc>
        <w:tc>
          <w:tcPr>
            <w:tcW w:w="91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lang w:eastAsia="zh-CN"/>
              </w:rPr>
              <w:t>查看互联网</w:t>
            </w:r>
            <w:r>
              <w:rPr>
                <w:rFonts w:hint="eastAsia" w:ascii="仿宋_GB2312" w:hAnsi="宋体" w:eastAsia="仿宋_GB2312" w:cs="宋体"/>
                <w:color w:val="000000"/>
                <w:kern w:val="0"/>
                <w:sz w:val="22"/>
                <w:lang w:val="en-US" w:eastAsia="zh-CN"/>
              </w:rPr>
              <w:t>+运政系统相关数据。</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hint="eastAsia" w:ascii="仿宋_GB2312" w:hAnsi="宋体" w:eastAsia="仿宋_GB2312" w:cs="宋体"/>
                <w:color w:val="000000"/>
                <w:kern w:val="0"/>
                <w:sz w:val="22"/>
                <w:szCs w:val="22"/>
                <w:lang w:val="en-US" w:eastAsia="zh-CN" w:bidi="ar-SA"/>
              </w:rPr>
            </w:pPr>
          </w:p>
        </w:tc>
      </w:tr>
      <w:tr>
        <w:tblPrEx>
          <w:tblCellMar>
            <w:top w:w="0" w:type="dxa"/>
            <w:left w:w="108" w:type="dxa"/>
            <w:bottom w:w="0" w:type="dxa"/>
            <w:right w:w="108" w:type="dxa"/>
          </w:tblCellMar>
        </w:tblPrEx>
        <w:trPr>
          <w:trHeight w:val="1191"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default" w:ascii="仿宋_GB2312" w:hAnsi="宋体" w:eastAsia="仿宋_GB2312" w:cs="宋体"/>
                <w:color w:val="000000"/>
                <w:kern w:val="0"/>
                <w:sz w:val="22"/>
              </w:rPr>
            </w:pPr>
            <w:r>
              <w:rPr>
                <w:rFonts w:hint="default" w:ascii="仿宋_GB2312" w:hAnsi="宋体" w:eastAsia="仿宋_GB2312" w:cs="宋体"/>
                <w:color w:val="000000"/>
                <w:kern w:val="0"/>
                <w:sz w:val="22"/>
              </w:rPr>
              <w:t>13</w:t>
            </w: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车辆技术管理人员</w:t>
            </w:r>
          </w:p>
          <w:p>
            <w:pPr>
              <w:widowControl/>
              <w:spacing w:line="400" w:lineRule="exact"/>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rPr>
              <w:t xml:space="preserve"> （</w:t>
            </w:r>
            <w:r>
              <w:rPr>
                <w:rFonts w:hint="eastAsia" w:ascii="仿宋_GB2312" w:hAnsi="宋体" w:eastAsia="仿宋_GB2312" w:cs="宋体"/>
                <w:color w:val="000000"/>
                <w:kern w:val="0"/>
                <w:sz w:val="22"/>
                <w:lang w:val="en-US" w:eastAsia="zh-CN"/>
              </w:rPr>
              <w:t>5</w:t>
            </w:r>
            <w:r>
              <w:rPr>
                <w:rFonts w:hint="eastAsia" w:ascii="仿宋_GB2312" w:hAnsi="宋体" w:eastAsia="仿宋_GB2312" w:cs="宋体"/>
                <w:color w:val="000000"/>
                <w:kern w:val="0"/>
                <w:sz w:val="22"/>
              </w:rPr>
              <w:t>分）</w:t>
            </w:r>
          </w:p>
        </w:tc>
        <w:tc>
          <w:tcPr>
            <w:tcW w:w="18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未设置车辆技术管理机构的，此项不得分；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未落实车辆技术管理制度的，此项不得分；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rPr>
              <w:t>车辆技术管理人员配置数量不达标的，此项不得分</w:t>
            </w:r>
            <w:r>
              <w:rPr>
                <w:rFonts w:hint="eastAsia" w:ascii="仿宋_GB2312" w:hAnsi="宋体" w:eastAsia="仿宋_GB2312" w:cs="宋体"/>
                <w:color w:val="000000"/>
                <w:kern w:val="0"/>
                <w:sz w:val="22"/>
                <w:lang w:eastAsia="zh-CN"/>
              </w:rPr>
              <w:t>。</w:t>
            </w:r>
          </w:p>
        </w:tc>
        <w:tc>
          <w:tcPr>
            <w:tcW w:w="91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bidi="ar-SA"/>
              </w:rPr>
              <w:t>按照《道路旅客运输企业安全管理规范》相关标准，</w:t>
            </w:r>
            <w:r>
              <w:rPr>
                <w:rFonts w:hint="eastAsia" w:ascii="仿宋_GB2312" w:hAnsi="宋体" w:eastAsia="仿宋_GB2312" w:cs="宋体"/>
                <w:color w:val="000000"/>
                <w:kern w:val="0"/>
                <w:sz w:val="22"/>
                <w:lang w:eastAsia="zh-CN"/>
              </w:rPr>
              <w:t>检查</w:t>
            </w:r>
            <w:r>
              <w:rPr>
                <w:rFonts w:hint="eastAsia" w:ascii="仿宋_GB2312" w:hAnsi="宋体" w:eastAsia="仿宋_GB2312" w:cs="宋体"/>
                <w:color w:val="000000"/>
                <w:kern w:val="0"/>
                <w:sz w:val="22"/>
              </w:rPr>
              <w:t>从业人员档案。</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1191"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default" w:ascii="仿宋_GB2312" w:hAnsi="宋体" w:eastAsia="仿宋_GB2312" w:cs="宋体"/>
                <w:color w:val="000000"/>
                <w:kern w:val="0"/>
                <w:sz w:val="22"/>
                <w:lang w:eastAsia="zh-CN"/>
              </w:rPr>
            </w:pPr>
            <w:r>
              <w:rPr>
                <w:rFonts w:hint="default" w:ascii="仿宋_GB2312" w:hAnsi="宋体" w:eastAsia="仿宋_GB2312" w:cs="宋体"/>
                <w:color w:val="000000"/>
                <w:kern w:val="0"/>
                <w:sz w:val="22"/>
                <w:lang w:eastAsia="zh-CN"/>
              </w:rPr>
              <w:t>14</w:t>
            </w:r>
          </w:p>
        </w:tc>
        <w:tc>
          <w:tcPr>
            <w:tcW w:w="539" w:type="pct"/>
            <w:vMerge w:val="continue"/>
            <w:tcBorders>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动态监控人员</w:t>
            </w:r>
          </w:p>
          <w:p>
            <w:pPr>
              <w:widowControl/>
              <w:spacing w:line="400" w:lineRule="exact"/>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lang w:val="en-US" w:eastAsia="zh-CN"/>
              </w:rPr>
              <w:t>5分</w:t>
            </w:r>
            <w:r>
              <w:rPr>
                <w:rFonts w:hint="eastAsia" w:ascii="仿宋_GB2312" w:hAnsi="宋体" w:eastAsia="仿宋_GB2312" w:cs="宋体"/>
                <w:color w:val="000000"/>
                <w:kern w:val="0"/>
                <w:sz w:val="22"/>
                <w:lang w:eastAsia="zh-CN"/>
              </w:rPr>
              <w:t>）</w:t>
            </w:r>
          </w:p>
        </w:tc>
        <w:tc>
          <w:tcPr>
            <w:tcW w:w="18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企业专职动态监控人员配置数量不达标的，此项不得分；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highlight w:val="none"/>
                <w:lang w:eastAsia="zh-CN"/>
              </w:rPr>
              <w:t>检查客运企业800公里以上道路客运班线运营时段动态监控人员在岗情况，</w:t>
            </w:r>
            <w:r>
              <w:rPr>
                <w:rFonts w:hint="eastAsia" w:ascii="仿宋_GB2312" w:hAnsi="宋体" w:eastAsia="仿宋_GB2312" w:cs="宋体"/>
                <w:color w:val="000000"/>
                <w:kern w:val="0"/>
                <w:sz w:val="22"/>
                <w:lang w:eastAsia="zh-CN"/>
              </w:rPr>
              <w:t>每发现一次不在岗，扣</w:t>
            </w:r>
            <w:r>
              <w:rPr>
                <w:rFonts w:hint="eastAsia" w:ascii="仿宋_GB2312" w:hAnsi="宋体" w:eastAsia="仿宋_GB2312" w:cs="宋体"/>
                <w:color w:val="000000"/>
                <w:kern w:val="0"/>
                <w:sz w:val="22"/>
                <w:lang w:val="en-US" w:eastAsia="zh-CN"/>
              </w:rPr>
              <w:t>2分，扣完为止</w:t>
            </w:r>
            <w:r>
              <w:rPr>
                <w:rFonts w:hint="eastAsia" w:ascii="仿宋_GB2312" w:hAnsi="宋体" w:eastAsia="仿宋_GB2312" w:cs="宋体"/>
                <w:color w:val="000000"/>
                <w:kern w:val="0"/>
                <w:sz w:val="22"/>
              </w:rPr>
              <w:t>。</w:t>
            </w:r>
          </w:p>
        </w:tc>
        <w:tc>
          <w:tcPr>
            <w:tcW w:w="91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实地检查</w:t>
            </w:r>
            <w:r>
              <w:rPr>
                <w:rFonts w:hint="eastAsia" w:ascii="仿宋_GB2312" w:hAnsi="宋体" w:eastAsia="仿宋_GB2312" w:cs="宋体"/>
                <w:color w:val="000000"/>
                <w:kern w:val="0"/>
                <w:sz w:val="22"/>
              </w:rPr>
              <w:t>从业人员档案</w:t>
            </w:r>
            <w:r>
              <w:rPr>
                <w:rFonts w:hint="eastAsia" w:ascii="仿宋_GB2312" w:hAnsi="宋体" w:eastAsia="仿宋_GB2312" w:cs="宋体"/>
                <w:color w:val="000000"/>
                <w:kern w:val="0"/>
                <w:sz w:val="22"/>
                <w:lang w:eastAsia="zh-CN"/>
              </w:rPr>
              <w:t>，查看相关部门印发的动态监控抽查通报。</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trHeight w:val="3855"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default" w:ascii="仿宋_GB2312" w:hAnsi="宋体" w:eastAsia="仿宋_GB2312" w:cs="宋体"/>
                <w:color w:val="000000"/>
                <w:kern w:val="0"/>
                <w:sz w:val="22"/>
              </w:rPr>
            </w:pPr>
            <w:r>
              <w:rPr>
                <w:rFonts w:hint="default" w:ascii="仿宋_GB2312" w:hAnsi="宋体" w:eastAsia="仿宋_GB2312" w:cs="宋体"/>
                <w:color w:val="000000"/>
                <w:kern w:val="0"/>
                <w:sz w:val="22"/>
              </w:rPr>
              <w:t>15</w:t>
            </w:r>
          </w:p>
        </w:tc>
        <w:tc>
          <w:tcPr>
            <w:tcW w:w="53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管理制度</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（20分）</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安全生产责任制落实情况</w:t>
            </w:r>
            <w:r>
              <w:rPr>
                <w:rFonts w:hint="eastAsia" w:ascii="仿宋_GB2312" w:hAnsi="宋体" w:eastAsia="仿宋_GB2312" w:cs="宋体"/>
                <w:color w:val="000000"/>
                <w:kern w:val="0"/>
                <w:sz w:val="22"/>
              </w:rPr>
              <w:t>（</w:t>
            </w:r>
            <w:r>
              <w:rPr>
                <w:rFonts w:hint="eastAsia" w:ascii="仿宋_GB2312" w:hAnsi="宋体" w:eastAsia="仿宋_GB2312" w:cs="宋体"/>
                <w:color w:val="000000"/>
                <w:kern w:val="0"/>
                <w:sz w:val="22"/>
                <w:lang w:val="en-US" w:eastAsia="zh-CN"/>
              </w:rPr>
              <w:t>4</w:t>
            </w:r>
            <w:r>
              <w:rPr>
                <w:rFonts w:hint="eastAsia" w:ascii="仿宋_GB2312" w:hAnsi="宋体" w:eastAsia="仿宋_GB2312" w:cs="宋体"/>
                <w:color w:val="000000"/>
                <w:kern w:val="0"/>
                <w:sz w:val="22"/>
              </w:rPr>
              <w:t>分）</w:t>
            </w:r>
          </w:p>
        </w:tc>
        <w:tc>
          <w:tcPr>
            <w:tcW w:w="1857"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客运企业未落实各岗位生产责任考核的，此项不得分；</w:t>
            </w:r>
          </w:p>
          <w:p>
            <w:pPr>
              <w:widowControl/>
              <w:spacing w:line="400" w:lineRule="exact"/>
              <w:jc w:val="left"/>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客运企业安全生产机构和管理人员未按规定投入并使用安全生产资金（应按照不低于上年度实际营业收入1.5%的比例提取、设立安全生产专项资金）的，此项不得分。</w:t>
            </w:r>
          </w:p>
        </w:tc>
        <w:tc>
          <w:tcPr>
            <w:tcW w:w="916"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w:t>
            </w: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企业有关财务记录</w:t>
            </w:r>
            <w:r>
              <w:rPr>
                <w:rFonts w:hint="eastAsia" w:ascii="仿宋_GB2312" w:hAnsi="宋体" w:eastAsia="仿宋_GB2312" w:cs="宋体"/>
                <w:color w:val="000000"/>
                <w:kern w:val="0"/>
                <w:sz w:val="22"/>
                <w:lang w:eastAsia="zh-CN"/>
              </w:rPr>
              <w:t>、考核档案等</w:t>
            </w:r>
            <w:r>
              <w:rPr>
                <w:rFonts w:hint="eastAsia" w:ascii="仿宋_GB2312" w:hAnsi="宋体" w:eastAsia="仿宋_GB2312" w:cs="宋体"/>
                <w:color w:val="000000"/>
                <w:kern w:val="0"/>
                <w:sz w:val="22"/>
              </w:rPr>
              <w:t>。</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855"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default" w:ascii="仿宋_GB2312" w:hAnsi="宋体" w:eastAsia="仿宋_GB2312" w:cs="宋体"/>
                <w:color w:val="000000"/>
                <w:kern w:val="0"/>
                <w:sz w:val="22"/>
              </w:rPr>
            </w:pPr>
            <w:r>
              <w:rPr>
                <w:rFonts w:hint="default" w:ascii="仿宋_GB2312" w:hAnsi="宋体" w:eastAsia="仿宋_GB2312" w:cs="宋体"/>
                <w:color w:val="000000"/>
                <w:kern w:val="0"/>
                <w:sz w:val="22"/>
              </w:rPr>
              <w:t>16</w:t>
            </w: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驾驶员和车辆安全生产管理制度及安全生产操作规程执行情况</w:t>
            </w:r>
            <w:r>
              <w:rPr>
                <w:rFonts w:hint="eastAsia" w:ascii="仿宋_GB2312" w:hAnsi="宋体" w:eastAsia="仿宋_GB2312" w:cs="宋体"/>
                <w:color w:val="000000"/>
                <w:kern w:val="0"/>
                <w:sz w:val="22"/>
              </w:rPr>
              <w:t>（</w:t>
            </w:r>
            <w:r>
              <w:rPr>
                <w:rFonts w:hint="eastAsia" w:ascii="仿宋_GB2312" w:hAnsi="宋体" w:eastAsia="仿宋_GB2312" w:cs="宋体"/>
                <w:color w:val="000000"/>
                <w:kern w:val="0"/>
                <w:sz w:val="22"/>
                <w:lang w:val="en-US" w:eastAsia="zh-CN"/>
              </w:rPr>
              <w:t>10</w:t>
            </w:r>
            <w:r>
              <w:rPr>
                <w:rFonts w:hint="eastAsia" w:ascii="仿宋_GB2312" w:hAnsi="宋体" w:eastAsia="仿宋_GB2312" w:cs="宋体"/>
                <w:color w:val="000000"/>
                <w:kern w:val="0"/>
                <w:sz w:val="22"/>
              </w:rPr>
              <w:t>分）</w:t>
            </w:r>
          </w:p>
        </w:tc>
        <w:tc>
          <w:tcPr>
            <w:tcW w:w="185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未制定并落实车辆动态信息处理与分析的，扣</w:t>
            </w:r>
            <w:r>
              <w:rPr>
                <w:rFonts w:hint="eastAsia" w:ascii="仿宋_GB2312" w:hAnsi="宋体" w:eastAsia="仿宋_GB2312" w:cs="宋体"/>
                <w:color w:val="000000"/>
                <w:kern w:val="0"/>
                <w:sz w:val="22"/>
                <w:lang w:val="en-US" w:eastAsia="zh-CN"/>
              </w:rPr>
              <w:t>2分；</w:t>
            </w:r>
          </w:p>
          <w:p>
            <w:pPr>
              <w:widowControl/>
              <w:spacing w:line="400" w:lineRule="exact"/>
              <w:jc w:val="left"/>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未制定并落实安全风险辨识评估制度的，扣</w:t>
            </w:r>
            <w:r>
              <w:rPr>
                <w:rFonts w:hint="eastAsia" w:ascii="仿宋_GB2312" w:hAnsi="宋体" w:eastAsia="仿宋_GB2312" w:cs="宋体"/>
                <w:color w:val="000000"/>
                <w:kern w:val="0"/>
                <w:sz w:val="22"/>
                <w:lang w:val="en-US" w:eastAsia="zh-CN"/>
              </w:rPr>
              <w:t>3分；</w:t>
            </w:r>
          </w:p>
          <w:p>
            <w:pPr>
              <w:widowControl/>
              <w:spacing w:line="400" w:lineRule="exact"/>
              <w:jc w:val="left"/>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未制定并落实隐患排查治理制度的，扣</w:t>
            </w:r>
            <w:r>
              <w:rPr>
                <w:rFonts w:hint="eastAsia" w:ascii="仿宋_GB2312" w:hAnsi="宋体" w:eastAsia="仿宋_GB2312" w:cs="宋体"/>
                <w:color w:val="000000"/>
                <w:kern w:val="0"/>
                <w:sz w:val="22"/>
                <w:lang w:val="en-US" w:eastAsia="zh-CN"/>
              </w:rPr>
              <w:t>3分；</w:t>
            </w:r>
          </w:p>
          <w:p>
            <w:pPr>
              <w:widowControl/>
              <w:spacing w:line="400" w:lineRule="exact"/>
              <w:jc w:val="left"/>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未制定并落实安全生产社会监督制度的，扣</w:t>
            </w:r>
            <w:r>
              <w:rPr>
                <w:rFonts w:hint="eastAsia" w:ascii="仿宋_GB2312" w:hAnsi="宋体" w:eastAsia="仿宋_GB2312" w:cs="宋体"/>
                <w:color w:val="000000"/>
                <w:kern w:val="0"/>
                <w:sz w:val="22"/>
                <w:lang w:val="en-US" w:eastAsia="zh-CN"/>
              </w:rPr>
              <w:t>2分；</w:t>
            </w:r>
          </w:p>
          <w:p>
            <w:pPr>
              <w:widowControl/>
              <w:spacing w:line="400" w:lineRule="exact"/>
              <w:jc w:val="left"/>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未制定并落实安全生产事故应急处置制度的，扣</w:t>
            </w:r>
            <w:r>
              <w:rPr>
                <w:rFonts w:hint="eastAsia" w:ascii="仿宋_GB2312" w:hAnsi="宋体" w:eastAsia="仿宋_GB2312" w:cs="宋体"/>
                <w:color w:val="000000"/>
                <w:kern w:val="0"/>
                <w:sz w:val="22"/>
                <w:lang w:val="en-US" w:eastAsia="zh-CN"/>
              </w:rPr>
              <w:t>2分；</w:t>
            </w:r>
          </w:p>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未制定并落实应急救援等制度的，扣</w:t>
            </w:r>
            <w:r>
              <w:rPr>
                <w:rFonts w:hint="eastAsia" w:ascii="仿宋_GB2312" w:hAnsi="宋体" w:eastAsia="仿宋_GB2312" w:cs="宋体"/>
                <w:color w:val="000000"/>
                <w:kern w:val="0"/>
                <w:sz w:val="22"/>
                <w:lang w:val="en-US" w:eastAsia="zh-CN"/>
              </w:rPr>
              <w:t>2分，扣完为止</w:t>
            </w:r>
            <w:r>
              <w:rPr>
                <w:rFonts w:hint="eastAsia" w:ascii="仿宋_GB2312" w:hAnsi="宋体" w:eastAsia="仿宋_GB2312" w:cs="宋体"/>
                <w:color w:val="000000"/>
                <w:kern w:val="0"/>
                <w:sz w:val="22"/>
              </w:rPr>
              <w:t>。</w:t>
            </w:r>
          </w:p>
        </w:tc>
        <w:tc>
          <w:tcPr>
            <w:tcW w:w="916"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对照要求查看有关档案、台账、记录</w:t>
            </w:r>
            <w:r>
              <w:rPr>
                <w:rFonts w:hint="eastAsia" w:ascii="仿宋_GB2312" w:hAnsi="宋体" w:eastAsia="仿宋_GB2312" w:cs="宋体"/>
                <w:color w:val="000000"/>
                <w:kern w:val="0"/>
                <w:sz w:val="22"/>
                <w:lang w:eastAsia="zh-CN"/>
              </w:rPr>
              <w:t>等</w:t>
            </w:r>
            <w:r>
              <w:rPr>
                <w:rFonts w:hint="eastAsia" w:ascii="仿宋_GB2312" w:hAnsi="宋体" w:eastAsia="仿宋_GB2312" w:cs="宋体"/>
                <w:color w:val="000000"/>
                <w:kern w:val="0"/>
                <w:sz w:val="22"/>
              </w:rPr>
              <w:t>。</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3"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default" w:ascii="仿宋_GB2312" w:hAnsi="宋体" w:eastAsia="仿宋_GB2312" w:cs="宋体"/>
                <w:color w:val="000000"/>
                <w:kern w:val="0"/>
                <w:sz w:val="22"/>
              </w:rPr>
            </w:pPr>
            <w:r>
              <w:rPr>
                <w:rFonts w:hint="default" w:ascii="仿宋_GB2312" w:hAnsi="宋体" w:eastAsia="仿宋_GB2312" w:cs="宋体"/>
                <w:color w:val="000000"/>
                <w:kern w:val="0"/>
                <w:sz w:val="22"/>
              </w:rPr>
              <w:t>17</w:t>
            </w:r>
          </w:p>
          <w:p>
            <w:pPr>
              <w:widowControl/>
              <w:spacing w:line="400" w:lineRule="exact"/>
              <w:jc w:val="center"/>
              <w:rPr>
                <w:rFonts w:hint="default" w:ascii="仿宋_GB2312" w:hAnsi="宋体" w:eastAsia="仿宋_GB2312" w:cs="宋体"/>
                <w:color w:val="000000"/>
                <w:kern w:val="0"/>
                <w:sz w:val="22"/>
              </w:rPr>
            </w:pP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安全生产监督检查制度执行情况</w:t>
            </w:r>
            <w:r>
              <w:rPr>
                <w:rFonts w:hint="eastAsia" w:ascii="仿宋_GB2312" w:hAnsi="宋体" w:eastAsia="仿宋_GB2312" w:cs="宋体"/>
                <w:color w:val="000000"/>
                <w:kern w:val="0"/>
                <w:sz w:val="22"/>
              </w:rPr>
              <w:t>（</w:t>
            </w:r>
            <w:r>
              <w:rPr>
                <w:rFonts w:hint="eastAsia" w:ascii="仿宋_GB2312" w:hAnsi="宋体" w:eastAsia="仿宋_GB2312" w:cs="宋体"/>
                <w:color w:val="000000"/>
                <w:kern w:val="0"/>
                <w:sz w:val="22"/>
                <w:lang w:val="en-US" w:eastAsia="zh-CN"/>
              </w:rPr>
              <w:t>6</w:t>
            </w:r>
            <w:r>
              <w:rPr>
                <w:rFonts w:hint="eastAsia" w:ascii="仿宋_GB2312" w:hAnsi="宋体" w:eastAsia="仿宋_GB2312" w:cs="宋体"/>
                <w:color w:val="000000"/>
                <w:kern w:val="0"/>
                <w:sz w:val="22"/>
              </w:rPr>
              <w:t>分）</w:t>
            </w:r>
          </w:p>
        </w:tc>
        <w:tc>
          <w:tcPr>
            <w:tcW w:w="1857" w:type="pc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动态监控平台未实现高风险路段安全提示、全程分段限速设置及提醒、驾驶员身份识别及驾驶时间记录等功能的，此项不得分。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未</w:t>
            </w:r>
            <w:r>
              <w:rPr>
                <w:rFonts w:hint="eastAsia" w:ascii="仿宋_GB2312" w:hAnsi="宋体" w:eastAsia="仿宋_GB2312" w:cs="宋体"/>
                <w:color w:val="000000"/>
                <w:kern w:val="0"/>
                <w:sz w:val="22"/>
                <w:lang w:eastAsia="zh-CN"/>
              </w:rPr>
              <w:t>按规定每月至少开展1次安全生产隐患排查的，</w:t>
            </w:r>
            <w:r>
              <w:rPr>
                <w:rFonts w:hint="eastAsia" w:ascii="仿宋_GB2312" w:hAnsi="宋体" w:eastAsia="仿宋_GB2312" w:cs="宋体"/>
                <w:color w:val="000000"/>
                <w:kern w:val="0"/>
                <w:sz w:val="22"/>
              </w:rPr>
              <w:t>每缺少一次扣</w:t>
            </w:r>
            <w:r>
              <w:rPr>
                <w:rFonts w:hint="eastAsia" w:ascii="仿宋_GB2312" w:hAnsi="宋体" w:eastAsia="仿宋_GB2312" w:cs="宋体"/>
                <w:color w:val="000000"/>
                <w:kern w:val="0"/>
                <w:sz w:val="22"/>
                <w:lang w:val="en-US" w:eastAsia="zh-CN"/>
              </w:rPr>
              <w:t>2</w:t>
            </w:r>
            <w:r>
              <w:rPr>
                <w:rFonts w:hint="eastAsia" w:ascii="仿宋_GB2312" w:hAnsi="宋体" w:eastAsia="仿宋_GB2312" w:cs="宋体"/>
                <w:color w:val="000000"/>
                <w:kern w:val="0"/>
                <w:sz w:val="22"/>
              </w:rPr>
              <w:t>分，扣完为止</w:t>
            </w:r>
            <w:r>
              <w:rPr>
                <w:rFonts w:hint="eastAsia" w:ascii="仿宋_GB2312" w:hAnsi="宋体" w:eastAsia="仿宋_GB2312" w:cs="宋体"/>
                <w:color w:val="000000"/>
                <w:kern w:val="0"/>
                <w:sz w:val="22"/>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排查出的问题隐患，未及时整改完毕的，每个隐患扣</w:t>
            </w:r>
            <w:r>
              <w:rPr>
                <w:rFonts w:hint="eastAsia" w:ascii="仿宋_GB2312" w:hAnsi="宋体" w:eastAsia="仿宋_GB2312" w:cs="宋体"/>
                <w:color w:val="000000"/>
                <w:kern w:val="0"/>
                <w:sz w:val="22"/>
                <w:lang w:val="en-US" w:eastAsia="zh-CN"/>
              </w:rPr>
              <w:t>2分，</w:t>
            </w:r>
            <w:r>
              <w:rPr>
                <w:rFonts w:hint="eastAsia" w:ascii="仿宋_GB2312" w:hAnsi="宋体" w:eastAsia="仿宋_GB2312" w:cs="宋体"/>
                <w:color w:val="000000"/>
                <w:kern w:val="0"/>
                <w:sz w:val="22"/>
              </w:rPr>
              <w:t>扣完为止</w:t>
            </w:r>
            <w:r>
              <w:rPr>
                <w:rFonts w:hint="eastAsia" w:ascii="仿宋_GB2312" w:hAnsi="宋体" w:eastAsia="仿宋_GB2312" w:cs="宋体"/>
                <w:color w:val="000000"/>
                <w:kern w:val="0"/>
                <w:sz w:val="22"/>
                <w:lang w:eastAsia="zh-CN"/>
              </w:rPr>
              <w:t>。</w:t>
            </w:r>
          </w:p>
        </w:tc>
        <w:tc>
          <w:tcPr>
            <w:tcW w:w="916" w:type="pc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实地验证平台功能情况；查看有关制度文件和工作台账、记录。</w:t>
            </w:r>
          </w:p>
        </w:tc>
        <w:tc>
          <w:tcPr>
            <w:tcW w:w="523" w:type="pct"/>
            <w:tcBorders>
              <w:top w:val="nil"/>
              <w:left w:val="nil"/>
              <w:right w:val="single" w:color="auto" w:sz="4" w:space="0"/>
            </w:tcBorders>
            <w:shd w:val="clear" w:color="auto" w:fill="auto"/>
            <w:noWrap/>
            <w:vAlign w:val="center"/>
          </w:tcPr>
          <w:p>
            <w:pPr>
              <w:widowControl/>
              <w:spacing w:line="400" w:lineRule="exact"/>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　</w:t>
            </w:r>
          </w:p>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1743"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仿宋_GB2312" w:hAnsi="宋体" w:eastAsia="仿宋_GB2312" w:cs="宋体"/>
                <w:color w:val="000000"/>
                <w:kern w:val="0"/>
                <w:sz w:val="22"/>
                <w:lang w:val="en-US" w:eastAsia="zh-CN"/>
              </w:rPr>
            </w:pPr>
            <w:r>
              <w:rPr>
                <w:rFonts w:hint="default" w:ascii="仿宋_GB2312" w:hAnsi="宋体" w:eastAsia="仿宋_GB2312" w:cs="宋体"/>
                <w:color w:val="000000"/>
                <w:kern w:val="0"/>
                <w:sz w:val="22"/>
              </w:rPr>
              <w:t>1</w:t>
            </w:r>
            <w:r>
              <w:rPr>
                <w:rFonts w:hint="eastAsia" w:ascii="仿宋_GB2312" w:hAnsi="宋体" w:eastAsia="仿宋_GB2312" w:cs="宋体"/>
                <w:color w:val="000000"/>
                <w:kern w:val="0"/>
                <w:sz w:val="22"/>
                <w:lang w:val="en-US" w:eastAsia="zh-CN"/>
              </w:rPr>
              <w:t>8</w:t>
            </w:r>
          </w:p>
        </w:tc>
        <w:tc>
          <w:tcPr>
            <w:tcW w:w="53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运营现状</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（20分）</w:t>
            </w:r>
          </w:p>
        </w:tc>
        <w:tc>
          <w:tcPr>
            <w:tcW w:w="82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安全生产责任事故（5</w:t>
            </w:r>
            <w:r>
              <w:rPr>
                <w:rFonts w:hint="eastAsia" w:ascii="仿宋_GB2312" w:hAnsi="宋体" w:eastAsia="仿宋_GB2312" w:cs="宋体"/>
                <w:color w:val="000000"/>
                <w:kern w:val="0"/>
                <w:sz w:val="22"/>
                <w:lang w:eastAsia="zh-CN"/>
              </w:rPr>
              <w:t>分</w:t>
            </w:r>
            <w:r>
              <w:rPr>
                <w:rFonts w:hint="eastAsia" w:ascii="仿宋_GB2312" w:hAnsi="宋体" w:eastAsia="仿宋_GB2312" w:cs="宋体"/>
                <w:color w:val="000000"/>
                <w:kern w:val="0"/>
                <w:sz w:val="22"/>
              </w:rPr>
              <w:t>）</w:t>
            </w:r>
          </w:p>
        </w:tc>
        <w:tc>
          <w:tcPr>
            <w:tcW w:w="18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企业近3年每发生1起一般道路客运安全生产责任事故扣1分，扣完为止；</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每发生1起较大道路客运安全生产责任事故扣2分，扣完为止；</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发生重大以上道路客运安全生产责任事故的</w:t>
            </w:r>
            <w:r>
              <w:rPr>
                <w:rFonts w:hint="eastAsia" w:ascii="仿宋_GB2312" w:hAnsi="宋体" w:eastAsia="仿宋_GB2312" w:cs="宋体"/>
                <w:color w:val="000000"/>
                <w:kern w:val="0"/>
                <w:sz w:val="22"/>
                <w:lang w:eastAsia="zh-CN"/>
              </w:rPr>
              <w:t>，此项</w:t>
            </w:r>
            <w:r>
              <w:rPr>
                <w:rFonts w:hint="eastAsia" w:ascii="仿宋_GB2312" w:hAnsi="宋体" w:eastAsia="仿宋_GB2312" w:cs="宋体"/>
                <w:color w:val="000000"/>
                <w:kern w:val="0"/>
                <w:sz w:val="22"/>
              </w:rPr>
              <w:t>不得分。</w:t>
            </w:r>
          </w:p>
        </w:tc>
        <w:tc>
          <w:tcPr>
            <w:tcW w:w="91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核查近3年</w:t>
            </w: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企业安全生产责任事故情况。</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3"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19</w:t>
            </w: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质量信誉考核情况（5分）</w:t>
            </w:r>
          </w:p>
        </w:tc>
        <w:tc>
          <w:tcPr>
            <w:tcW w:w="18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近3年</w:t>
            </w: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企业质量信誉考核结果有不合格</w:t>
            </w:r>
            <w:r>
              <w:rPr>
                <w:rFonts w:hint="eastAsia" w:ascii="仿宋_GB2312" w:hAnsi="宋体" w:eastAsia="仿宋_GB2312" w:cs="宋体"/>
                <w:color w:val="000000"/>
                <w:kern w:val="0"/>
                <w:sz w:val="22"/>
                <w:lang w:eastAsia="zh-CN"/>
              </w:rPr>
              <w:t>记录的，此项不得分；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近3年</w:t>
            </w: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企业质量信誉考核结果</w:t>
            </w:r>
            <w:r>
              <w:rPr>
                <w:rFonts w:hint="eastAsia" w:ascii="仿宋_GB2312" w:hAnsi="宋体" w:eastAsia="仿宋_GB2312" w:cs="宋体"/>
                <w:color w:val="000000"/>
                <w:kern w:val="0"/>
                <w:sz w:val="22"/>
                <w:lang w:eastAsia="zh-CN"/>
              </w:rPr>
              <w:t>连续两年</w:t>
            </w:r>
            <w:r>
              <w:rPr>
                <w:rFonts w:hint="default" w:ascii="仿宋_GB2312" w:hAnsi="宋体" w:eastAsia="仿宋_GB2312" w:cs="宋体"/>
                <w:color w:val="000000"/>
                <w:kern w:val="0"/>
                <w:sz w:val="22"/>
                <w:lang w:eastAsia="zh-CN"/>
              </w:rPr>
              <w:t>为</w:t>
            </w:r>
            <w:r>
              <w:rPr>
                <w:rFonts w:hint="eastAsia" w:ascii="仿宋_GB2312" w:hAnsi="宋体" w:eastAsia="仿宋_GB2312" w:cs="宋体"/>
                <w:color w:val="000000"/>
                <w:kern w:val="0"/>
                <w:sz w:val="22"/>
              </w:rPr>
              <w:t>基本合格的，</w:t>
            </w:r>
            <w:r>
              <w:rPr>
                <w:rFonts w:hint="eastAsia" w:ascii="仿宋_GB2312" w:hAnsi="宋体" w:eastAsia="仿宋_GB2312" w:cs="宋体"/>
                <w:color w:val="000000"/>
                <w:kern w:val="0"/>
                <w:sz w:val="22"/>
                <w:lang w:eastAsia="zh-CN"/>
              </w:rPr>
              <w:t>扣</w:t>
            </w:r>
            <w:r>
              <w:rPr>
                <w:rFonts w:hint="eastAsia" w:ascii="仿宋_GB2312" w:hAnsi="宋体" w:eastAsia="仿宋_GB2312" w:cs="宋体"/>
                <w:color w:val="000000"/>
                <w:kern w:val="0"/>
                <w:sz w:val="22"/>
                <w:lang w:val="en-US" w:eastAsia="zh-CN"/>
              </w:rPr>
              <w:t>3分</w:t>
            </w:r>
            <w:r>
              <w:rPr>
                <w:rFonts w:hint="eastAsia" w:ascii="仿宋_GB2312" w:hAnsi="宋体" w:eastAsia="仿宋_GB2312" w:cs="宋体"/>
                <w:color w:val="000000"/>
                <w:kern w:val="0"/>
                <w:sz w:val="22"/>
              </w:rPr>
              <w:t>。</w:t>
            </w:r>
          </w:p>
        </w:tc>
        <w:tc>
          <w:tcPr>
            <w:tcW w:w="91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核查近3年</w:t>
            </w:r>
            <w:r>
              <w:rPr>
                <w:rFonts w:hint="eastAsia" w:ascii="仿宋_GB2312" w:hAnsi="宋体" w:eastAsia="仿宋_GB2312" w:cs="宋体"/>
                <w:color w:val="000000"/>
                <w:kern w:val="0"/>
                <w:sz w:val="22"/>
                <w:lang w:eastAsia="zh-CN"/>
              </w:rPr>
              <w:t>客运</w:t>
            </w:r>
            <w:r>
              <w:rPr>
                <w:rFonts w:hint="eastAsia" w:ascii="仿宋_GB2312" w:hAnsi="宋体" w:eastAsia="仿宋_GB2312" w:cs="宋体"/>
                <w:color w:val="000000"/>
                <w:kern w:val="0"/>
                <w:sz w:val="22"/>
              </w:rPr>
              <w:t>企业质量信誉考核结果情况。</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1962"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仿宋_GB2312" w:hAnsi="宋体" w:eastAsia="仿宋_GB2312" w:cs="宋体"/>
                <w:color w:val="000000"/>
                <w:kern w:val="0"/>
                <w:sz w:val="22"/>
                <w:lang w:val="en-US" w:eastAsia="zh-CN"/>
              </w:rPr>
            </w:pPr>
            <w:r>
              <w:rPr>
                <w:rFonts w:hint="default" w:ascii="仿宋_GB2312" w:hAnsi="宋体" w:eastAsia="仿宋_GB2312" w:cs="宋体"/>
                <w:color w:val="000000"/>
                <w:kern w:val="0"/>
                <w:sz w:val="22"/>
              </w:rPr>
              <w:t>2</w:t>
            </w:r>
            <w:r>
              <w:rPr>
                <w:rFonts w:hint="eastAsia" w:ascii="仿宋_GB2312" w:hAnsi="宋体" w:eastAsia="仿宋_GB2312" w:cs="宋体"/>
                <w:color w:val="000000"/>
                <w:kern w:val="0"/>
                <w:sz w:val="22"/>
                <w:lang w:val="en-US" w:eastAsia="zh-CN"/>
              </w:rPr>
              <w:t>0</w:t>
            </w:r>
          </w:p>
        </w:tc>
        <w:tc>
          <w:tcPr>
            <w:tcW w:w="539" w:type="pct"/>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_GB2312" w:hAnsi="宋体" w:eastAsia="仿宋_GB2312" w:cs="宋体"/>
                <w:color w:val="000000"/>
                <w:kern w:val="0"/>
                <w:sz w:val="22"/>
              </w:rPr>
            </w:pPr>
          </w:p>
        </w:tc>
        <w:tc>
          <w:tcPr>
            <w:tcW w:w="82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车辆违法违规经营情况（10分）</w:t>
            </w:r>
          </w:p>
        </w:tc>
        <w:tc>
          <w:tcPr>
            <w:tcW w:w="18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发现车辆虚假接驳的，每发现一次扣</w:t>
            </w:r>
            <w:r>
              <w:rPr>
                <w:rFonts w:hint="eastAsia" w:ascii="仿宋_GB2312" w:hAnsi="宋体" w:eastAsia="仿宋_GB2312" w:cs="宋体"/>
                <w:color w:val="000000"/>
                <w:kern w:val="0"/>
                <w:sz w:val="22"/>
                <w:lang w:val="en-US" w:eastAsia="zh-CN"/>
              </w:rPr>
              <w:t>2分，扣完为止</w:t>
            </w:r>
            <w:r>
              <w:rPr>
                <w:rFonts w:hint="eastAsia" w:ascii="仿宋_GB2312" w:hAnsi="宋体" w:eastAsia="仿宋_GB2312" w:cs="宋体"/>
                <w:color w:val="000000"/>
                <w:kern w:val="0"/>
                <w:sz w:val="22"/>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车辆上一年度每发生1次交通违法或违规经营行为扣2分，扣完为止</w:t>
            </w:r>
            <w:r>
              <w:rPr>
                <w:rFonts w:hint="eastAsia" w:ascii="仿宋_GB2312" w:hAnsi="宋体" w:eastAsia="仿宋_GB2312" w:cs="宋体"/>
                <w:color w:val="000000"/>
                <w:kern w:val="0"/>
                <w:sz w:val="22"/>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发现车辆未落实凌晨</w:t>
            </w:r>
            <w:r>
              <w:rPr>
                <w:rFonts w:hint="eastAsia" w:ascii="仿宋_GB2312" w:hAnsi="宋体" w:eastAsia="仿宋_GB2312" w:cs="宋体"/>
                <w:color w:val="000000"/>
                <w:kern w:val="0"/>
                <w:sz w:val="22"/>
                <w:lang w:val="en-US" w:eastAsia="zh-CN"/>
              </w:rPr>
              <w:t>2时至5时停止运行或实行接驳运输制度的，每发现一次扣2分，扣完为止。</w:t>
            </w:r>
          </w:p>
        </w:tc>
        <w:tc>
          <w:tcPr>
            <w:tcW w:w="91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查看违规记录</w:t>
            </w:r>
            <w:r>
              <w:rPr>
                <w:rFonts w:hint="eastAsia" w:ascii="仿宋_GB2312" w:hAnsi="宋体" w:eastAsia="仿宋_GB2312" w:cs="宋体"/>
                <w:color w:val="000000"/>
                <w:kern w:val="0"/>
                <w:sz w:val="22"/>
                <w:lang w:eastAsia="zh-CN"/>
              </w:rPr>
              <w:t>、外省违法抄告等</w:t>
            </w:r>
            <w:r>
              <w:rPr>
                <w:rFonts w:hint="eastAsia" w:ascii="仿宋_GB2312" w:hAnsi="宋体" w:eastAsia="仿宋_GB2312" w:cs="宋体"/>
                <w:color w:val="000000"/>
                <w:kern w:val="0"/>
                <w:sz w:val="22"/>
              </w:rPr>
              <w:t>情况。</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bl>
    <w:p>
      <w:pPr>
        <w:spacing w:line="600" w:lineRule="exact"/>
        <w:jc w:val="both"/>
        <w:rPr>
          <w:rFonts w:hint="eastAsia" w:ascii="方正小标宋简体" w:hAnsi="方正小标宋简体" w:eastAsia="方正小标宋简体" w:cs="方正小标宋简体"/>
          <w:sz w:val="24"/>
          <w:szCs w:val="24"/>
          <w:lang w:val="en-US" w:eastAsia="zh-CN"/>
        </w:rPr>
      </w:pPr>
    </w:p>
    <w:sectPr>
      <w:footerReference r:id="rId5" w:type="default"/>
      <w:footerReference r:id="rId6" w:type="even"/>
      <w:pgSz w:w="16838" w:h="11906" w:orient="landscape"/>
      <w:pgMar w:top="1803" w:right="1803" w:bottom="1803"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185"/>
        <w:tab w:val="right" w:pos="13142"/>
      </w:tabs>
      <w:ind w:right="210" w:rightChars="100"/>
      <w:jc w:val="left"/>
      <w:rPr>
        <w:rFonts w:ascii="宋体" w:hAnsi="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7</w:t>
                          </w:r>
                          <w:r>
                            <w:rPr>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7</w:t>
                    </w:r>
                    <w:r>
                      <w:rPr>
                        <w:sz w:val="21"/>
                        <w:szCs w:val="21"/>
                      </w:rPr>
                      <w:fldChar w:fldCharType="end"/>
                    </w:r>
                    <w:r>
                      <w:rPr>
                        <w:sz w:val="21"/>
                        <w:szCs w:val="21"/>
                      </w:rPr>
                      <w:t xml:space="preserve"> </w:t>
                    </w:r>
                    <w:r>
                      <w:t>—</w:t>
                    </w:r>
                  </w:p>
                </w:txbxContent>
              </v:textbox>
            </v:shape>
          </w:pict>
        </mc:Fallback>
      </mc:AlternateContent>
    </w:r>
    <w:r>
      <w:rPr>
        <w:rFonts w:hint="eastAsia" w:ascii="宋体" w:hAnsi="宋体" w:cs="宋体"/>
        <w:sz w:val="28"/>
        <w:szCs w:val="28"/>
        <w:lang w:eastAsia="zh-CN"/>
      </w:rPr>
      <w:tab/>
    </w:r>
    <w:r>
      <w:rPr>
        <w:rFonts w:hint="eastAsia" w:ascii="宋体" w:hAnsi="宋体" w:cs="宋体"/>
        <w:sz w:val="28"/>
        <w:szCs w:val="28"/>
        <w:lang w:eastAsia="zh-CN"/>
      </w:rPr>
      <w:tab/>
    </w:r>
    <w:r>
      <w:rPr>
        <w:rFonts w:hint="eastAsia" w:ascii="宋体" w:hAnsi="宋体" w:cs="宋体"/>
        <w:sz w:val="28"/>
        <w:szCs w:val="28"/>
        <w:lang w:eastAsia="zh-CN"/>
      </w:rPr>
      <w:tab/>
    </w:r>
    <w:r>
      <w:rPr>
        <w:rFonts w:hint="eastAsia" w:ascii="宋体" w:hAnsi="宋体" w:cs="宋体"/>
        <w:sz w:val="28"/>
        <w:szCs w:val="2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NWNhNTEwNmY3ZmExM2I4MGU2OWZmODcwMmM1OWMifQ=="/>
  </w:docVars>
  <w:rsids>
    <w:rsidRoot w:val="00172A27"/>
    <w:rsid w:val="00001344"/>
    <w:rsid w:val="000015E5"/>
    <w:rsid w:val="00006DAC"/>
    <w:rsid w:val="000149C6"/>
    <w:rsid w:val="00014CD3"/>
    <w:rsid w:val="000204C6"/>
    <w:rsid w:val="00021C6E"/>
    <w:rsid w:val="000264A7"/>
    <w:rsid w:val="00031EDC"/>
    <w:rsid w:val="00035EEA"/>
    <w:rsid w:val="0004126D"/>
    <w:rsid w:val="000431AE"/>
    <w:rsid w:val="00043958"/>
    <w:rsid w:val="00047BCC"/>
    <w:rsid w:val="000570EB"/>
    <w:rsid w:val="00064CB0"/>
    <w:rsid w:val="0006543D"/>
    <w:rsid w:val="00067B57"/>
    <w:rsid w:val="0007417D"/>
    <w:rsid w:val="000741BE"/>
    <w:rsid w:val="00077458"/>
    <w:rsid w:val="00077972"/>
    <w:rsid w:val="0008492D"/>
    <w:rsid w:val="00087B4D"/>
    <w:rsid w:val="000905DE"/>
    <w:rsid w:val="00097B70"/>
    <w:rsid w:val="000A1D6E"/>
    <w:rsid w:val="000A68DD"/>
    <w:rsid w:val="000B065F"/>
    <w:rsid w:val="000B3828"/>
    <w:rsid w:val="000B5D50"/>
    <w:rsid w:val="000C27BB"/>
    <w:rsid w:val="000C592F"/>
    <w:rsid w:val="000C6525"/>
    <w:rsid w:val="000C6AFA"/>
    <w:rsid w:val="000D2BB2"/>
    <w:rsid w:val="000D3329"/>
    <w:rsid w:val="000D4123"/>
    <w:rsid w:val="000D6B41"/>
    <w:rsid w:val="000E0151"/>
    <w:rsid w:val="000E1891"/>
    <w:rsid w:val="000E52BF"/>
    <w:rsid w:val="000F0725"/>
    <w:rsid w:val="000F4B15"/>
    <w:rsid w:val="000F4EF1"/>
    <w:rsid w:val="000F5C40"/>
    <w:rsid w:val="00104BD2"/>
    <w:rsid w:val="0010519C"/>
    <w:rsid w:val="00110E4B"/>
    <w:rsid w:val="001174B1"/>
    <w:rsid w:val="0012387F"/>
    <w:rsid w:val="0012731C"/>
    <w:rsid w:val="00132DA7"/>
    <w:rsid w:val="0013685F"/>
    <w:rsid w:val="00137430"/>
    <w:rsid w:val="00141577"/>
    <w:rsid w:val="00141755"/>
    <w:rsid w:val="00143364"/>
    <w:rsid w:val="001448A3"/>
    <w:rsid w:val="001519D4"/>
    <w:rsid w:val="00154BD9"/>
    <w:rsid w:val="00156FA9"/>
    <w:rsid w:val="00166A1F"/>
    <w:rsid w:val="00172A27"/>
    <w:rsid w:val="001749C3"/>
    <w:rsid w:val="00176178"/>
    <w:rsid w:val="001839EC"/>
    <w:rsid w:val="00184383"/>
    <w:rsid w:val="001852BA"/>
    <w:rsid w:val="00187E70"/>
    <w:rsid w:val="00193D20"/>
    <w:rsid w:val="001A3546"/>
    <w:rsid w:val="001A4FAC"/>
    <w:rsid w:val="001B3A1D"/>
    <w:rsid w:val="001B684F"/>
    <w:rsid w:val="001B6E9A"/>
    <w:rsid w:val="001B6F59"/>
    <w:rsid w:val="001B713E"/>
    <w:rsid w:val="001B72C0"/>
    <w:rsid w:val="001C5CAC"/>
    <w:rsid w:val="001D0273"/>
    <w:rsid w:val="001D0755"/>
    <w:rsid w:val="001D1C5E"/>
    <w:rsid w:val="001D47DE"/>
    <w:rsid w:val="001E66D2"/>
    <w:rsid w:val="001F26CE"/>
    <w:rsid w:val="001F3562"/>
    <w:rsid w:val="001F56C1"/>
    <w:rsid w:val="0020084F"/>
    <w:rsid w:val="0020224C"/>
    <w:rsid w:val="00203E40"/>
    <w:rsid w:val="002073FA"/>
    <w:rsid w:val="00211298"/>
    <w:rsid w:val="00211DEA"/>
    <w:rsid w:val="00212939"/>
    <w:rsid w:val="00215842"/>
    <w:rsid w:val="00215E05"/>
    <w:rsid w:val="00222EB2"/>
    <w:rsid w:val="002246AD"/>
    <w:rsid w:val="00226093"/>
    <w:rsid w:val="002308F0"/>
    <w:rsid w:val="00231DC7"/>
    <w:rsid w:val="00233908"/>
    <w:rsid w:val="00234F27"/>
    <w:rsid w:val="002408BF"/>
    <w:rsid w:val="00241F77"/>
    <w:rsid w:val="00243DD5"/>
    <w:rsid w:val="00244A95"/>
    <w:rsid w:val="00260331"/>
    <w:rsid w:val="0026217F"/>
    <w:rsid w:val="00263AA2"/>
    <w:rsid w:val="00263FA6"/>
    <w:rsid w:val="00266279"/>
    <w:rsid w:val="00270E1D"/>
    <w:rsid w:val="0027443C"/>
    <w:rsid w:val="002753EA"/>
    <w:rsid w:val="00280829"/>
    <w:rsid w:val="00287D29"/>
    <w:rsid w:val="00290840"/>
    <w:rsid w:val="00291C38"/>
    <w:rsid w:val="0029262A"/>
    <w:rsid w:val="0029447D"/>
    <w:rsid w:val="00296AE5"/>
    <w:rsid w:val="00296C69"/>
    <w:rsid w:val="002A7B66"/>
    <w:rsid w:val="002B1BAD"/>
    <w:rsid w:val="002B2FF8"/>
    <w:rsid w:val="002B6C30"/>
    <w:rsid w:val="002C1BB4"/>
    <w:rsid w:val="002C1DCF"/>
    <w:rsid w:val="002C50D7"/>
    <w:rsid w:val="002C5516"/>
    <w:rsid w:val="002C6A18"/>
    <w:rsid w:val="002C7999"/>
    <w:rsid w:val="002C7FAA"/>
    <w:rsid w:val="002D6C78"/>
    <w:rsid w:val="002E1A42"/>
    <w:rsid w:val="002E28F9"/>
    <w:rsid w:val="002E2E63"/>
    <w:rsid w:val="002F2937"/>
    <w:rsid w:val="002F2C16"/>
    <w:rsid w:val="002F4223"/>
    <w:rsid w:val="00300E23"/>
    <w:rsid w:val="00301D51"/>
    <w:rsid w:val="00302B0D"/>
    <w:rsid w:val="00312D91"/>
    <w:rsid w:val="00315343"/>
    <w:rsid w:val="003156E4"/>
    <w:rsid w:val="00316F0C"/>
    <w:rsid w:val="00316F6B"/>
    <w:rsid w:val="003170A0"/>
    <w:rsid w:val="00321C80"/>
    <w:rsid w:val="003234FA"/>
    <w:rsid w:val="00326C3E"/>
    <w:rsid w:val="0033414E"/>
    <w:rsid w:val="00334862"/>
    <w:rsid w:val="00337AA0"/>
    <w:rsid w:val="00341761"/>
    <w:rsid w:val="00344912"/>
    <w:rsid w:val="00345AB9"/>
    <w:rsid w:val="00346273"/>
    <w:rsid w:val="003470B2"/>
    <w:rsid w:val="00357AC2"/>
    <w:rsid w:val="003601CB"/>
    <w:rsid w:val="00361F3A"/>
    <w:rsid w:val="00363F3A"/>
    <w:rsid w:val="0037042C"/>
    <w:rsid w:val="003714E8"/>
    <w:rsid w:val="0038004D"/>
    <w:rsid w:val="0038254B"/>
    <w:rsid w:val="00383F4F"/>
    <w:rsid w:val="00391FC1"/>
    <w:rsid w:val="0039259D"/>
    <w:rsid w:val="0039489D"/>
    <w:rsid w:val="00394F72"/>
    <w:rsid w:val="00396606"/>
    <w:rsid w:val="003975AE"/>
    <w:rsid w:val="00397B60"/>
    <w:rsid w:val="003A20FD"/>
    <w:rsid w:val="003A3682"/>
    <w:rsid w:val="003A3ECD"/>
    <w:rsid w:val="003B14C3"/>
    <w:rsid w:val="003B424B"/>
    <w:rsid w:val="003B67F5"/>
    <w:rsid w:val="003B6A91"/>
    <w:rsid w:val="003C02BB"/>
    <w:rsid w:val="003C10DC"/>
    <w:rsid w:val="003C153D"/>
    <w:rsid w:val="003C2452"/>
    <w:rsid w:val="003C68C1"/>
    <w:rsid w:val="003D30DA"/>
    <w:rsid w:val="003E4AD9"/>
    <w:rsid w:val="003E631D"/>
    <w:rsid w:val="003F0FE2"/>
    <w:rsid w:val="003F4F0C"/>
    <w:rsid w:val="00400248"/>
    <w:rsid w:val="0040372D"/>
    <w:rsid w:val="00405989"/>
    <w:rsid w:val="004145D8"/>
    <w:rsid w:val="00414F40"/>
    <w:rsid w:val="00415E81"/>
    <w:rsid w:val="00422880"/>
    <w:rsid w:val="004251EB"/>
    <w:rsid w:val="00425219"/>
    <w:rsid w:val="0043154C"/>
    <w:rsid w:val="00432C88"/>
    <w:rsid w:val="004337E0"/>
    <w:rsid w:val="00437727"/>
    <w:rsid w:val="00443558"/>
    <w:rsid w:val="004462BB"/>
    <w:rsid w:val="004513E0"/>
    <w:rsid w:val="004554B7"/>
    <w:rsid w:val="00464A10"/>
    <w:rsid w:val="00465178"/>
    <w:rsid w:val="004663E8"/>
    <w:rsid w:val="00471B7D"/>
    <w:rsid w:val="00474937"/>
    <w:rsid w:val="00476F8A"/>
    <w:rsid w:val="00477361"/>
    <w:rsid w:val="004915B9"/>
    <w:rsid w:val="00493126"/>
    <w:rsid w:val="004A1504"/>
    <w:rsid w:val="004A4C1F"/>
    <w:rsid w:val="004A6C66"/>
    <w:rsid w:val="004B007A"/>
    <w:rsid w:val="004B331B"/>
    <w:rsid w:val="004C197F"/>
    <w:rsid w:val="004C5C33"/>
    <w:rsid w:val="004D1616"/>
    <w:rsid w:val="004D1B20"/>
    <w:rsid w:val="004E0E9B"/>
    <w:rsid w:val="004E27B3"/>
    <w:rsid w:val="004F4075"/>
    <w:rsid w:val="004F5C04"/>
    <w:rsid w:val="00503650"/>
    <w:rsid w:val="005066FC"/>
    <w:rsid w:val="00510244"/>
    <w:rsid w:val="005134A4"/>
    <w:rsid w:val="00515209"/>
    <w:rsid w:val="005174FD"/>
    <w:rsid w:val="00521803"/>
    <w:rsid w:val="0053070B"/>
    <w:rsid w:val="00533296"/>
    <w:rsid w:val="00533BCC"/>
    <w:rsid w:val="005353C1"/>
    <w:rsid w:val="00537285"/>
    <w:rsid w:val="00541A01"/>
    <w:rsid w:val="00553210"/>
    <w:rsid w:val="00567137"/>
    <w:rsid w:val="00570EDB"/>
    <w:rsid w:val="00571CB6"/>
    <w:rsid w:val="005739EB"/>
    <w:rsid w:val="00581B29"/>
    <w:rsid w:val="00582253"/>
    <w:rsid w:val="005839B2"/>
    <w:rsid w:val="0058579A"/>
    <w:rsid w:val="005900C8"/>
    <w:rsid w:val="00592AAE"/>
    <w:rsid w:val="005A131A"/>
    <w:rsid w:val="005A1600"/>
    <w:rsid w:val="005A3A27"/>
    <w:rsid w:val="005B22AC"/>
    <w:rsid w:val="005B3229"/>
    <w:rsid w:val="005B5FD0"/>
    <w:rsid w:val="005C2692"/>
    <w:rsid w:val="005C2B4B"/>
    <w:rsid w:val="005C588C"/>
    <w:rsid w:val="005D2B07"/>
    <w:rsid w:val="005D35C0"/>
    <w:rsid w:val="005D3A00"/>
    <w:rsid w:val="005D4F92"/>
    <w:rsid w:val="005D5AEC"/>
    <w:rsid w:val="005D5D7C"/>
    <w:rsid w:val="005D7E3B"/>
    <w:rsid w:val="005F4DEB"/>
    <w:rsid w:val="005F52A8"/>
    <w:rsid w:val="005F5637"/>
    <w:rsid w:val="005F73DC"/>
    <w:rsid w:val="006004F5"/>
    <w:rsid w:val="006014E7"/>
    <w:rsid w:val="00602DC0"/>
    <w:rsid w:val="00603B66"/>
    <w:rsid w:val="00603C9F"/>
    <w:rsid w:val="006116B3"/>
    <w:rsid w:val="00614778"/>
    <w:rsid w:val="00614DE2"/>
    <w:rsid w:val="00615656"/>
    <w:rsid w:val="006163E2"/>
    <w:rsid w:val="00616CD6"/>
    <w:rsid w:val="006272B6"/>
    <w:rsid w:val="0063490A"/>
    <w:rsid w:val="0064145C"/>
    <w:rsid w:val="006459E3"/>
    <w:rsid w:val="0064723C"/>
    <w:rsid w:val="00650A71"/>
    <w:rsid w:val="00656B1C"/>
    <w:rsid w:val="00657DA7"/>
    <w:rsid w:val="00667FC0"/>
    <w:rsid w:val="00675F61"/>
    <w:rsid w:val="00676683"/>
    <w:rsid w:val="006801AD"/>
    <w:rsid w:val="006802F8"/>
    <w:rsid w:val="006859C4"/>
    <w:rsid w:val="00685DA3"/>
    <w:rsid w:val="00693A82"/>
    <w:rsid w:val="00694B6F"/>
    <w:rsid w:val="006A13A0"/>
    <w:rsid w:val="006A1B63"/>
    <w:rsid w:val="006A4BC4"/>
    <w:rsid w:val="006A50D1"/>
    <w:rsid w:val="006A692D"/>
    <w:rsid w:val="006A79BE"/>
    <w:rsid w:val="006B0CB8"/>
    <w:rsid w:val="006B1672"/>
    <w:rsid w:val="006B6FE0"/>
    <w:rsid w:val="006C34CA"/>
    <w:rsid w:val="006D6A5F"/>
    <w:rsid w:val="006D7639"/>
    <w:rsid w:val="006E1E93"/>
    <w:rsid w:val="006F2C60"/>
    <w:rsid w:val="006F368B"/>
    <w:rsid w:val="006F6F6C"/>
    <w:rsid w:val="0070622F"/>
    <w:rsid w:val="00711792"/>
    <w:rsid w:val="007122F8"/>
    <w:rsid w:val="00712766"/>
    <w:rsid w:val="007133A2"/>
    <w:rsid w:val="00715656"/>
    <w:rsid w:val="00716E79"/>
    <w:rsid w:val="007200AE"/>
    <w:rsid w:val="007228C7"/>
    <w:rsid w:val="00722A89"/>
    <w:rsid w:val="00723F7D"/>
    <w:rsid w:val="00734857"/>
    <w:rsid w:val="00735240"/>
    <w:rsid w:val="00736252"/>
    <w:rsid w:val="00740CBA"/>
    <w:rsid w:val="0074172A"/>
    <w:rsid w:val="007447A2"/>
    <w:rsid w:val="0074556E"/>
    <w:rsid w:val="00757786"/>
    <w:rsid w:val="00761A87"/>
    <w:rsid w:val="00761B2E"/>
    <w:rsid w:val="00764402"/>
    <w:rsid w:val="007645CE"/>
    <w:rsid w:val="00765853"/>
    <w:rsid w:val="00770679"/>
    <w:rsid w:val="007758FC"/>
    <w:rsid w:val="00776091"/>
    <w:rsid w:val="007808B9"/>
    <w:rsid w:val="00781257"/>
    <w:rsid w:val="00783C06"/>
    <w:rsid w:val="007875DF"/>
    <w:rsid w:val="007915F7"/>
    <w:rsid w:val="007A477D"/>
    <w:rsid w:val="007A4EE1"/>
    <w:rsid w:val="007A6B25"/>
    <w:rsid w:val="007B1758"/>
    <w:rsid w:val="007C0516"/>
    <w:rsid w:val="007C16FF"/>
    <w:rsid w:val="007D27DD"/>
    <w:rsid w:val="007D69FA"/>
    <w:rsid w:val="007D6C43"/>
    <w:rsid w:val="007E0FAF"/>
    <w:rsid w:val="007E6A16"/>
    <w:rsid w:val="007F1020"/>
    <w:rsid w:val="007F173F"/>
    <w:rsid w:val="007F20DE"/>
    <w:rsid w:val="007F4D30"/>
    <w:rsid w:val="007F5841"/>
    <w:rsid w:val="007F5964"/>
    <w:rsid w:val="007F59C8"/>
    <w:rsid w:val="007F62AD"/>
    <w:rsid w:val="0080379C"/>
    <w:rsid w:val="008122D3"/>
    <w:rsid w:val="008155BD"/>
    <w:rsid w:val="00820FBA"/>
    <w:rsid w:val="00821DA8"/>
    <w:rsid w:val="00823539"/>
    <w:rsid w:val="0082619A"/>
    <w:rsid w:val="008302E3"/>
    <w:rsid w:val="008401AB"/>
    <w:rsid w:val="00841C34"/>
    <w:rsid w:val="00842579"/>
    <w:rsid w:val="00851B76"/>
    <w:rsid w:val="0085248F"/>
    <w:rsid w:val="008608CE"/>
    <w:rsid w:val="00861578"/>
    <w:rsid w:val="008630B7"/>
    <w:rsid w:val="00863D43"/>
    <w:rsid w:val="00867A3F"/>
    <w:rsid w:val="00876A60"/>
    <w:rsid w:val="00881C64"/>
    <w:rsid w:val="00883FB1"/>
    <w:rsid w:val="00885A06"/>
    <w:rsid w:val="00890078"/>
    <w:rsid w:val="00891462"/>
    <w:rsid w:val="008929C8"/>
    <w:rsid w:val="0089351A"/>
    <w:rsid w:val="00897A28"/>
    <w:rsid w:val="008A1F98"/>
    <w:rsid w:val="008A58D6"/>
    <w:rsid w:val="008C059B"/>
    <w:rsid w:val="008C3BF3"/>
    <w:rsid w:val="008C4F03"/>
    <w:rsid w:val="008C758E"/>
    <w:rsid w:val="008C7EAB"/>
    <w:rsid w:val="008D3882"/>
    <w:rsid w:val="008D601A"/>
    <w:rsid w:val="008D71AC"/>
    <w:rsid w:val="008E0049"/>
    <w:rsid w:val="008E6007"/>
    <w:rsid w:val="008E7EE9"/>
    <w:rsid w:val="008F24B9"/>
    <w:rsid w:val="008F253D"/>
    <w:rsid w:val="00900637"/>
    <w:rsid w:val="00905D11"/>
    <w:rsid w:val="00912FB0"/>
    <w:rsid w:val="0092357F"/>
    <w:rsid w:val="009244A5"/>
    <w:rsid w:val="00927B78"/>
    <w:rsid w:val="009345F1"/>
    <w:rsid w:val="0094263D"/>
    <w:rsid w:val="00942CA2"/>
    <w:rsid w:val="009442AF"/>
    <w:rsid w:val="0094442B"/>
    <w:rsid w:val="009471BE"/>
    <w:rsid w:val="0095491A"/>
    <w:rsid w:val="0095538B"/>
    <w:rsid w:val="009571FB"/>
    <w:rsid w:val="0096162D"/>
    <w:rsid w:val="009617BB"/>
    <w:rsid w:val="00964476"/>
    <w:rsid w:val="00967DAB"/>
    <w:rsid w:val="00971C28"/>
    <w:rsid w:val="00973A57"/>
    <w:rsid w:val="00980F3A"/>
    <w:rsid w:val="00991E95"/>
    <w:rsid w:val="00992DCD"/>
    <w:rsid w:val="00995E56"/>
    <w:rsid w:val="009B10D7"/>
    <w:rsid w:val="009B165C"/>
    <w:rsid w:val="009B2EEE"/>
    <w:rsid w:val="009B34A5"/>
    <w:rsid w:val="009C0465"/>
    <w:rsid w:val="009C4A0C"/>
    <w:rsid w:val="009C5A71"/>
    <w:rsid w:val="009C680B"/>
    <w:rsid w:val="009C7E13"/>
    <w:rsid w:val="009D29FF"/>
    <w:rsid w:val="009D5486"/>
    <w:rsid w:val="009E00B6"/>
    <w:rsid w:val="009E3645"/>
    <w:rsid w:val="009F1B94"/>
    <w:rsid w:val="009F2645"/>
    <w:rsid w:val="009F3B1D"/>
    <w:rsid w:val="00A0045B"/>
    <w:rsid w:val="00A0605A"/>
    <w:rsid w:val="00A069AC"/>
    <w:rsid w:val="00A07019"/>
    <w:rsid w:val="00A125EC"/>
    <w:rsid w:val="00A2150E"/>
    <w:rsid w:val="00A23DF0"/>
    <w:rsid w:val="00A24583"/>
    <w:rsid w:val="00A24A67"/>
    <w:rsid w:val="00A32F57"/>
    <w:rsid w:val="00A373CF"/>
    <w:rsid w:val="00A43C5A"/>
    <w:rsid w:val="00A44CCE"/>
    <w:rsid w:val="00A4698C"/>
    <w:rsid w:val="00A5019C"/>
    <w:rsid w:val="00A50F7B"/>
    <w:rsid w:val="00A56259"/>
    <w:rsid w:val="00A56F0B"/>
    <w:rsid w:val="00A6185F"/>
    <w:rsid w:val="00A618EC"/>
    <w:rsid w:val="00A648E2"/>
    <w:rsid w:val="00A65637"/>
    <w:rsid w:val="00A67FB6"/>
    <w:rsid w:val="00A7248B"/>
    <w:rsid w:val="00A82060"/>
    <w:rsid w:val="00A8381F"/>
    <w:rsid w:val="00A868AB"/>
    <w:rsid w:val="00A91DCC"/>
    <w:rsid w:val="00AA0A4E"/>
    <w:rsid w:val="00AA12AF"/>
    <w:rsid w:val="00AA173F"/>
    <w:rsid w:val="00AA470B"/>
    <w:rsid w:val="00AB1FBE"/>
    <w:rsid w:val="00AB63D7"/>
    <w:rsid w:val="00AC0A39"/>
    <w:rsid w:val="00AC5F5B"/>
    <w:rsid w:val="00AC755D"/>
    <w:rsid w:val="00AD2CA7"/>
    <w:rsid w:val="00AD3659"/>
    <w:rsid w:val="00AD7E45"/>
    <w:rsid w:val="00AE2ED9"/>
    <w:rsid w:val="00AE3C65"/>
    <w:rsid w:val="00AE52B0"/>
    <w:rsid w:val="00AE7410"/>
    <w:rsid w:val="00AF2B88"/>
    <w:rsid w:val="00B00011"/>
    <w:rsid w:val="00B02E66"/>
    <w:rsid w:val="00B06EF1"/>
    <w:rsid w:val="00B11851"/>
    <w:rsid w:val="00B24115"/>
    <w:rsid w:val="00B250B4"/>
    <w:rsid w:val="00B26166"/>
    <w:rsid w:val="00B31E73"/>
    <w:rsid w:val="00B411A7"/>
    <w:rsid w:val="00B453E9"/>
    <w:rsid w:val="00B456DB"/>
    <w:rsid w:val="00B61D68"/>
    <w:rsid w:val="00B62441"/>
    <w:rsid w:val="00B6325A"/>
    <w:rsid w:val="00B6686E"/>
    <w:rsid w:val="00B67BFB"/>
    <w:rsid w:val="00B825D2"/>
    <w:rsid w:val="00B83AB1"/>
    <w:rsid w:val="00B936F3"/>
    <w:rsid w:val="00B94431"/>
    <w:rsid w:val="00B96951"/>
    <w:rsid w:val="00B97DCC"/>
    <w:rsid w:val="00BA55F3"/>
    <w:rsid w:val="00BB40F0"/>
    <w:rsid w:val="00BB5626"/>
    <w:rsid w:val="00BB6DF4"/>
    <w:rsid w:val="00BC0CCF"/>
    <w:rsid w:val="00BC2C66"/>
    <w:rsid w:val="00BC3320"/>
    <w:rsid w:val="00BC7C80"/>
    <w:rsid w:val="00BD57D7"/>
    <w:rsid w:val="00BD5A42"/>
    <w:rsid w:val="00BD75E6"/>
    <w:rsid w:val="00BD7861"/>
    <w:rsid w:val="00BE2697"/>
    <w:rsid w:val="00BF5D79"/>
    <w:rsid w:val="00C065E6"/>
    <w:rsid w:val="00C06B30"/>
    <w:rsid w:val="00C07B56"/>
    <w:rsid w:val="00C13DC8"/>
    <w:rsid w:val="00C20630"/>
    <w:rsid w:val="00C2196B"/>
    <w:rsid w:val="00C22443"/>
    <w:rsid w:val="00C239AA"/>
    <w:rsid w:val="00C255CA"/>
    <w:rsid w:val="00C26AB5"/>
    <w:rsid w:val="00C35C3B"/>
    <w:rsid w:val="00C406F4"/>
    <w:rsid w:val="00C41549"/>
    <w:rsid w:val="00C4205F"/>
    <w:rsid w:val="00C43A74"/>
    <w:rsid w:val="00C46A35"/>
    <w:rsid w:val="00C509A2"/>
    <w:rsid w:val="00C51BC5"/>
    <w:rsid w:val="00C5336C"/>
    <w:rsid w:val="00C635A3"/>
    <w:rsid w:val="00C65743"/>
    <w:rsid w:val="00C70206"/>
    <w:rsid w:val="00C7109D"/>
    <w:rsid w:val="00C7373F"/>
    <w:rsid w:val="00C76E6F"/>
    <w:rsid w:val="00C81EE8"/>
    <w:rsid w:val="00C82FFB"/>
    <w:rsid w:val="00C906A9"/>
    <w:rsid w:val="00C92E48"/>
    <w:rsid w:val="00C937FC"/>
    <w:rsid w:val="00CA2732"/>
    <w:rsid w:val="00CA35CF"/>
    <w:rsid w:val="00CB5CFA"/>
    <w:rsid w:val="00CB5EEF"/>
    <w:rsid w:val="00CC092A"/>
    <w:rsid w:val="00CD15DC"/>
    <w:rsid w:val="00CD7614"/>
    <w:rsid w:val="00CE59B5"/>
    <w:rsid w:val="00CE5F2B"/>
    <w:rsid w:val="00CE7D32"/>
    <w:rsid w:val="00CE7ECA"/>
    <w:rsid w:val="00CF009D"/>
    <w:rsid w:val="00CF0968"/>
    <w:rsid w:val="00CF33A6"/>
    <w:rsid w:val="00CF5A77"/>
    <w:rsid w:val="00D038C4"/>
    <w:rsid w:val="00D20854"/>
    <w:rsid w:val="00D215DB"/>
    <w:rsid w:val="00D237E9"/>
    <w:rsid w:val="00D247C9"/>
    <w:rsid w:val="00D25FB6"/>
    <w:rsid w:val="00D3062B"/>
    <w:rsid w:val="00D332F9"/>
    <w:rsid w:val="00D40CB9"/>
    <w:rsid w:val="00D436F0"/>
    <w:rsid w:val="00D4592D"/>
    <w:rsid w:val="00D51A5E"/>
    <w:rsid w:val="00D51A93"/>
    <w:rsid w:val="00D555C1"/>
    <w:rsid w:val="00D55708"/>
    <w:rsid w:val="00D57A4C"/>
    <w:rsid w:val="00D632DA"/>
    <w:rsid w:val="00D7012E"/>
    <w:rsid w:val="00D764C2"/>
    <w:rsid w:val="00D768AB"/>
    <w:rsid w:val="00D77466"/>
    <w:rsid w:val="00D7763C"/>
    <w:rsid w:val="00D77DA6"/>
    <w:rsid w:val="00D80720"/>
    <w:rsid w:val="00D81916"/>
    <w:rsid w:val="00D81D97"/>
    <w:rsid w:val="00D83AD4"/>
    <w:rsid w:val="00D85CD0"/>
    <w:rsid w:val="00D863C2"/>
    <w:rsid w:val="00D87679"/>
    <w:rsid w:val="00D9025D"/>
    <w:rsid w:val="00D9530E"/>
    <w:rsid w:val="00D95829"/>
    <w:rsid w:val="00DA3326"/>
    <w:rsid w:val="00DB1CB1"/>
    <w:rsid w:val="00DB1E41"/>
    <w:rsid w:val="00DB2803"/>
    <w:rsid w:val="00DB473E"/>
    <w:rsid w:val="00DC1531"/>
    <w:rsid w:val="00DC2489"/>
    <w:rsid w:val="00DC3F9F"/>
    <w:rsid w:val="00DC7421"/>
    <w:rsid w:val="00DD1092"/>
    <w:rsid w:val="00DD2CA1"/>
    <w:rsid w:val="00DD3EB5"/>
    <w:rsid w:val="00DD5261"/>
    <w:rsid w:val="00DE5A40"/>
    <w:rsid w:val="00DE717F"/>
    <w:rsid w:val="00DE7951"/>
    <w:rsid w:val="00DF2B15"/>
    <w:rsid w:val="00DF6B04"/>
    <w:rsid w:val="00E03273"/>
    <w:rsid w:val="00E0538D"/>
    <w:rsid w:val="00E15E98"/>
    <w:rsid w:val="00E165C1"/>
    <w:rsid w:val="00E16A17"/>
    <w:rsid w:val="00E21BA6"/>
    <w:rsid w:val="00E2322C"/>
    <w:rsid w:val="00E235DC"/>
    <w:rsid w:val="00E23752"/>
    <w:rsid w:val="00E23F65"/>
    <w:rsid w:val="00E25974"/>
    <w:rsid w:val="00E3178C"/>
    <w:rsid w:val="00E31DDA"/>
    <w:rsid w:val="00E320DB"/>
    <w:rsid w:val="00E34E4C"/>
    <w:rsid w:val="00E36580"/>
    <w:rsid w:val="00E36E4A"/>
    <w:rsid w:val="00E403CA"/>
    <w:rsid w:val="00E405F6"/>
    <w:rsid w:val="00E41513"/>
    <w:rsid w:val="00E53B5C"/>
    <w:rsid w:val="00E56890"/>
    <w:rsid w:val="00E61927"/>
    <w:rsid w:val="00E63FD2"/>
    <w:rsid w:val="00E70CF7"/>
    <w:rsid w:val="00E7132D"/>
    <w:rsid w:val="00E72A13"/>
    <w:rsid w:val="00E817C7"/>
    <w:rsid w:val="00E85E33"/>
    <w:rsid w:val="00E8627B"/>
    <w:rsid w:val="00E87A26"/>
    <w:rsid w:val="00E97112"/>
    <w:rsid w:val="00E97722"/>
    <w:rsid w:val="00EA5911"/>
    <w:rsid w:val="00EA6202"/>
    <w:rsid w:val="00EA66A2"/>
    <w:rsid w:val="00EA7C18"/>
    <w:rsid w:val="00EC10BE"/>
    <w:rsid w:val="00EC187C"/>
    <w:rsid w:val="00EE2480"/>
    <w:rsid w:val="00EE527A"/>
    <w:rsid w:val="00EF1221"/>
    <w:rsid w:val="00EF1CF6"/>
    <w:rsid w:val="00EF4CBF"/>
    <w:rsid w:val="00EF668A"/>
    <w:rsid w:val="00F00802"/>
    <w:rsid w:val="00F059D9"/>
    <w:rsid w:val="00F164D8"/>
    <w:rsid w:val="00F22D07"/>
    <w:rsid w:val="00F25F1E"/>
    <w:rsid w:val="00F26AB8"/>
    <w:rsid w:val="00F27E88"/>
    <w:rsid w:val="00F33A6B"/>
    <w:rsid w:val="00F36BE9"/>
    <w:rsid w:val="00F379FE"/>
    <w:rsid w:val="00F41669"/>
    <w:rsid w:val="00F41940"/>
    <w:rsid w:val="00F45730"/>
    <w:rsid w:val="00F466C9"/>
    <w:rsid w:val="00F4673A"/>
    <w:rsid w:val="00F5066B"/>
    <w:rsid w:val="00F50D6A"/>
    <w:rsid w:val="00F51E4C"/>
    <w:rsid w:val="00F54A44"/>
    <w:rsid w:val="00F54EBF"/>
    <w:rsid w:val="00F5551C"/>
    <w:rsid w:val="00F55C6E"/>
    <w:rsid w:val="00F655AB"/>
    <w:rsid w:val="00F72209"/>
    <w:rsid w:val="00F77E32"/>
    <w:rsid w:val="00F81B72"/>
    <w:rsid w:val="00F827E0"/>
    <w:rsid w:val="00F83C66"/>
    <w:rsid w:val="00F840D6"/>
    <w:rsid w:val="00F849AC"/>
    <w:rsid w:val="00F85935"/>
    <w:rsid w:val="00F914A5"/>
    <w:rsid w:val="00F9191C"/>
    <w:rsid w:val="00F9200F"/>
    <w:rsid w:val="00F925D2"/>
    <w:rsid w:val="00F94B99"/>
    <w:rsid w:val="00FA5F77"/>
    <w:rsid w:val="00FA6E7E"/>
    <w:rsid w:val="00FA7E0F"/>
    <w:rsid w:val="00FB4070"/>
    <w:rsid w:val="00FB47A8"/>
    <w:rsid w:val="00FB4918"/>
    <w:rsid w:val="00FC1AB1"/>
    <w:rsid w:val="00FC39E9"/>
    <w:rsid w:val="00FC636B"/>
    <w:rsid w:val="00FC7934"/>
    <w:rsid w:val="00FE0289"/>
    <w:rsid w:val="00FE0AB3"/>
    <w:rsid w:val="00FE21E0"/>
    <w:rsid w:val="00FE24E6"/>
    <w:rsid w:val="00FE4449"/>
    <w:rsid w:val="00FF7216"/>
    <w:rsid w:val="015113D1"/>
    <w:rsid w:val="0244641E"/>
    <w:rsid w:val="04517E6E"/>
    <w:rsid w:val="048FE797"/>
    <w:rsid w:val="06100522"/>
    <w:rsid w:val="065F4CAC"/>
    <w:rsid w:val="068E300E"/>
    <w:rsid w:val="071400BC"/>
    <w:rsid w:val="078FB3CF"/>
    <w:rsid w:val="08F53768"/>
    <w:rsid w:val="094942D0"/>
    <w:rsid w:val="09595A64"/>
    <w:rsid w:val="0A2B6493"/>
    <w:rsid w:val="0A660AD6"/>
    <w:rsid w:val="0B0B16BC"/>
    <w:rsid w:val="0BB23CA0"/>
    <w:rsid w:val="0D2A3BC4"/>
    <w:rsid w:val="0D400846"/>
    <w:rsid w:val="0E2B1A07"/>
    <w:rsid w:val="0F2B515B"/>
    <w:rsid w:val="11C44D4E"/>
    <w:rsid w:val="12013AE7"/>
    <w:rsid w:val="13276979"/>
    <w:rsid w:val="15AA6F86"/>
    <w:rsid w:val="1797E440"/>
    <w:rsid w:val="17D4311B"/>
    <w:rsid w:val="18680B75"/>
    <w:rsid w:val="19094219"/>
    <w:rsid w:val="191532B1"/>
    <w:rsid w:val="1ACD2271"/>
    <w:rsid w:val="1BE4686A"/>
    <w:rsid w:val="1C93469F"/>
    <w:rsid w:val="1CDA3225"/>
    <w:rsid w:val="1CF5415C"/>
    <w:rsid w:val="1D361557"/>
    <w:rsid w:val="1DAF1339"/>
    <w:rsid w:val="1DC13845"/>
    <w:rsid w:val="1EF05DE3"/>
    <w:rsid w:val="1F2D3C6C"/>
    <w:rsid w:val="1F6913C7"/>
    <w:rsid w:val="1F73F30B"/>
    <w:rsid w:val="203F0A22"/>
    <w:rsid w:val="20E76031"/>
    <w:rsid w:val="2260450E"/>
    <w:rsid w:val="23B42C6D"/>
    <w:rsid w:val="252267CD"/>
    <w:rsid w:val="252F41C4"/>
    <w:rsid w:val="26EE4279"/>
    <w:rsid w:val="28247569"/>
    <w:rsid w:val="294675D6"/>
    <w:rsid w:val="2A5B30EC"/>
    <w:rsid w:val="2AD3601F"/>
    <w:rsid w:val="2CFFB4CE"/>
    <w:rsid w:val="2D404FF5"/>
    <w:rsid w:val="2DE465F6"/>
    <w:rsid w:val="2DFF09FC"/>
    <w:rsid w:val="2E237CBD"/>
    <w:rsid w:val="2E48557E"/>
    <w:rsid w:val="2EFF1F67"/>
    <w:rsid w:val="2F9C152E"/>
    <w:rsid w:val="30140F55"/>
    <w:rsid w:val="30696CF7"/>
    <w:rsid w:val="30A81BF8"/>
    <w:rsid w:val="313D1ECF"/>
    <w:rsid w:val="3348573C"/>
    <w:rsid w:val="35345946"/>
    <w:rsid w:val="375F3E6C"/>
    <w:rsid w:val="375F4194"/>
    <w:rsid w:val="37FF8F8F"/>
    <w:rsid w:val="38B17ACF"/>
    <w:rsid w:val="38EE2DD1"/>
    <w:rsid w:val="38F97767"/>
    <w:rsid w:val="393EB353"/>
    <w:rsid w:val="397F2556"/>
    <w:rsid w:val="3A2747FC"/>
    <w:rsid w:val="3A36413A"/>
    <w:rsid w:val="3AB6630B"/>
    <w:rsid w:val="3ADA6659"/>
    <w:rsid w:val="3B517FB1"/>
    <w:rsid w:val="3BF7DCFD"/>
    <w:rsid w:val="3E024A9C"/>
    <w:rsid w:val="3F6B4A7F"/>
    <w:rsid w:val="3F8F8FAE"/>
    <w:rsid w:val="3FDEFE13"/>
    <w:rsid w:val="3FDF6341"/>
    <w:rsid w:val="3FEF7217"/>
    <w:rsid w:val="3FFB666C"/>
    <w:rsid w:val="412179FD"/>
    <w:rsid w:val="417F24C0"/>
    <w:rsid w:val="41BF0A89"/>
    <w:rsid w:val="42010BF6"/>
    <w:rsid w:val="42E775D5"/>
    <w:rsid w:val="434A241B"/>
    <w:rsid w:val="44452C2E"/>
    <w:rsid w:val="45FF56D1"/>
    <w:rsid w:val="47F81401"/>
    <w:rsid w:val="4B9C4DC2"/>
    <w:rsid w:val="4C0F745D"/>
    <w:rsid w:val="4DAA5782"/>
    <w:rsid w:val="4EEC5FE5"/>
    <w:rsid w:val="4F4135B7"/>
    <w:rsid w:val="4FC51B78"/>
    <w:rsid w:val="501A7A19"/>
    <w:rsid w:val="512C6179"/>
    <w:rsid w:val="51366132"/>
    <w:rsid w:val="530153B5"/>
    <w:rsid w:val="530D1DD8"/>
    <w:rsid w:val="53B0625A"/>
    <w:rsid w:val="53FC488E"/>
    <w:rsid w:val="54EDA322"/>
    <w:rsid w:val="55BC57C2"/>
    <w:rsid w:val="56937D13"/>
    <w:rsid w:val="571C4C48"/>
    <w:rsid w:val="576EF066"/>
    <w:rsid w:val="577322D8"/>
    <w:rsid w:val="57FB59F1"/>
    <w:rsid w:val="58B879C3"/>
    <w:rsid w:val="59782EF9"/>
    <w:rsid w:val="5A7F732F"/>
    <w:rsid w:val="5BF61CB3"/>
    <w:rsid w:val="5D1427EB"/>
    <w:rsid w:val="5DAB7F00"/>
    <w:rsid w:val="5DB04C17"/>
    <w:rsid w:val="5DFD2AC8"/>
    <w:rsid w:val="5E7FB917"/>
    <w:rsid w:val="5F347032"/>
    <w:rsid w:val="5F94547B"/>
    <w:rsid w:val="5FEBAD1D"/>
    <w:rsid w:val="5FED3F14"/>
    <w:rsid w:val="60AB2B40"/>
    <w:rsid w:val="60E7660B"/>
    <w:rsid w:val="60F856BF"/>
    <w:rsid w:val="61515A6C"/>
    <w:rsid w:val="61D07F56"/>
    <w:rsid w:val="646741B1"/>
    <w:rsid w:val="64FA38C2"/>
    <w:rsid w:val="65B6767A"/>
    <w:rsid w:val="65E07C61"/>
    <w:rsid w:val="665B2628"/>
    <w:rsid w:val="67560703"/>
    <w:rsid w:val="6812409A"/>
    <w:rsid w:val="699F229F"/>
    <w:rsid w:val="6A017EA1"/>
    <w:rsid w:val="6AEF2510"/>
    <w:rsid w:val="6B883CBC"/>
    <w:rsid w:val="6BFEF42B"/>
    <w:rsid w:val="6D4F1181"/>
    <w:rsid w:val="6D8272A9"/>
    <w:rsid w:val="6DA53323"/>
    <w:rsid w:val="6DED7015"/>
    <w:rsid w:val="6DEFF912"/>
    <w:rsid w:val="6E0A46B0"/>
    <w:rsid w:val="6EDCFDC0"/>
    <w:rsid w:val="6F035387"/>
    <w:rsid w:val="6F8B71C4"/>
    <w:rsid w:val="6FDB352D"/>
    <w:rsid w:val="6FF7745F"/>
    <w:rsid w:val="711B3864"/>
    <w:rsid w:val="718F540F"/>
    <w:rsid w:val="71C73453"/>
    <w:rsid w:val="71EF6FBC"/>
    <w:rsid w:val="72F971D6"/>
    <w:rsid w:val="73B43FF5"/>
    <w:rsid w:val="73DA0B4E"/>
    <w:rsid w:val="74447A36"/>
    <w:rsid w:val="747043AB"/>
    <w:rsid w:val="749E1189"/>
    <w:rsid w:val="74FF56DB"/>
    <w:rsid w:val="76CF9583"/>
    <w:rsid w:val="776A6982"/>
    <w:rsid w:val="777CDCD3"/>
    <w:rsid w:val="78231FE5"/>
    <w:rsid w:val="785A0F3E"/>
    <w:rsid w:val="78FFBF29"/>
    <w:rsid w:val="79826CFF"/>
    <w:rsid w:val="79B7C2FF"/>
    <w:rsid w:val="79E26B39"/>
    <w:rsid w:val="7A4D2EC6"/>
    <w:rsid w:val="7A7F49FB"/>
    <w:rsid w:val="7ADF6B03"/>
    <w:rsid w:val="7B0911C7"/>
    <w:rsid w:val="7B1973F2"/>
    <w:rsid w:val="7B7734ED"/>
    <w:rsid w:val="7BDFF639"/>
    <w:rsid w:val="7BEF601A"/>
    <w:rsid w:val="7CB43D99"/>
    <w:rsid w:val="7D5EFDB7"/>
    <w:rsid w:val="7D7740C1"/>
    <w:rsid w:val="7DFF3261"/>
    <w:rsid w:val="7EAF3712"/>
    <w:rsid w:val="7EEF847A"/>
    <w:rsid w:val="7EFF580D"/>
    <w:rsid w:val="7EFFB627"/>
    <w:rsid w:val="7F77DB0F"/>
    <w:rsid w:val="7F903DFB"/>
    <w:rsid w:val="7FEDB020"/>
    <w:rsid w:val="7FF729D1"/>
    <w:rsid w:val="7FFECA4D"/>
    <w:rsid w:val="7FFFCE4F"/>
    <w:rsid w:val="8FFF53E3"/>
    <w:rsid w:val="923F2FE2"/>
    <w:rsid w:val="95DE9C6F"/>
    <w:rsid w:val="977F0C74"/>
    <w:rsid w:val="9CFDC13B"/>
    <w:rsid w:val="9FEA61CE"/>
    <w:rsid w:val="A2E7E498"/>
    <w:rsid w:val="ADDFA602"/>
    <w:rsid w:val="AFFF24E2"/>
    <w:rsid w:val="B3EF130C"/>
    <w:rsid w:val="B793EC2B"/>
    <w:rsid w:val="B7F72225"/>
    <w:rsid w:val="B7FD502A"/>
    <w:rsid w:val="B9ABF314"/>
    <w:rsid w:val="B9DFC01F"/>
    <w:rsid w:val="BBEC7D08"/>
    <w:rsid w:val="BE5FB322"/>
    <w:rsid w:val="BFDF0CA1"/>
    <w:rsid w:val="BFF70BEA"/>
    <w:rsid w:val="BFF9F87A"/>
    <w:rsid w:val="BFFFA694"/>
    <w:rsid w:val="CFED081B"/>
    <w:rsid w:val="D5FA58C0"/>
    <w:rsid w:val="DA4F2676"/>
    <w:rsid w:val="DBB9518C"/>
    <w:rsid w:val="DBBFF20D"/>
    <w:rsid w:val="DF9F6D0E"/>
    <w:rsid w:val="DFB5AC95"/>
    <w:rsid w:val="E35F5716"/>
    <w:rsid w:val="E775E8C1"/>
    <w:rsid w:val="EF5F0B7B"/>
    <w:rsid w:val="EF7FF8B0"/>
    <w:rsid w:val="EFE7F839"/>
    <w:rsid w:val="EFEA6662"/>
    <w:rsid w:val="EFEFFA73"/>
    <w:rsid w:val="EFF3A97D"/>
    <w:rsid w:val="F31BC2D6"/>
    <w:rsid w:val="F7D95D2A"/>
    <w:rsid w:val="F7DD4AE3"/>
    <w:rsid w:val="F7DF382F"/>
    <w:rsid w:val="F7FDA43B"/>
    <w:rsid w:val="F7FFFBEF"/>
    <w:rsid w:val="FB9E6BFA"/>
    <w:rsid w:val="FD7FFBCF"/>
    <w:rsid w:val="FDE7FC1B"/>
    <w:rsid w:val="FE1BBBC6"/>
    <w:rsid w:val="FED63FD4"/>
    <w:rsid w:val="FEFF1493"/>
    <w:rsid w:val="FFBE86AF"/>
    <w:rsid w:val="FFDF2E12"/>
    <w:rsid w:val="FFDF571D"/>
    <w:rsid w:val="FFFA1352"/>
    <w:rsid w:val="FFFFA95F"/>
    <w:rsid w:val="FFFFE75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jc w:val="center"/>
      <w:outlineLvl w:val="0"/>
    </w:pPr>
    <w:rPr>
      <w:rFonts w:eastAsia="方正小标宋简体"/>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0"/>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码1"/>
    <w:basedOn w:val="8"/>
    <w:qFormat/>
    <w:uiPriority w:val="0"/>
    <w:rPr>
      <w:rFonts w:cs="Times New Roman"/>
    </w:r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页眉 New New New"/>
    <w:basedOn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页眉 New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页脚 New New New"/>
    <w:basedOn w:val="14"/>
    <w:qFormat/>
    <w:uiPriority w:val="0"/>
    <w:pPr>
      <w:tabs>
        <w:tab w:val="center" w:pos="4153"/>
        <w:tab w:val="right" w:pos="8306"/>
      </w:tabs>
      <w:snapToGrid w:val="0"/>
      <w:jc w:val="left"/>
    </w:pPr>
    <w:rPr>
      <w:sz w:val="18"/>
      <w:szCs w:val="18"/>
    </w:rPr>
  </w:style>
  <w:style w:type="paragraph" w:customStyle="1" w:styleId="18">
    <w:name w:val="Char Char Char Char Char Char"/>
    <w:basedOn w:val="14"/>
    <w:qFormat/>
    <w:uiPriority w:val="0"/>
    <w:pPr>
      <w:spacing w:line="360" w:lineRule="auto"/>
      <w:ind w:firstLine="200" w:firstLineChars="200"/>
    </w:pPr>
  </w:style>
  <w:style w:type="paragraph" w:customStyle="1" w:styleId="19">
    <w:name w:val="页脚 New New New New New New"/>
    <w:basedOn w:val="15"/>
    <w:qFormat/>
    <w:uiPriority w:val="0"/>
    <w:pPr>
      <w:tabs>
        <w:tab w:val="center" w:pos="4153"/>
        <w:tab w:val="right" w:pos="8306"/>
      </w:tabs>
      <w:snapToGrid w:val="0"/>
      <w:jc w:val="left"/>
    </w:pPr>
    <w:rPr>
      <w:sz w:val="18"/>
      <w:szCs w:val="18"/>
    </w:rPr>
  </w:style>
  <w:style w:type="paragraph" w:customStyle="1" w:styleId="20">
    <w:name w:val="页脚 New New New New New New New"/>
    <w:basedOn w:val="13"/>
    <w:qFormat/>
    <w:uiPriority w:val="0"/>
    <w:pPr>
      <w:tabs>
        <w:tab w:val="center" w:pos="4153"/>
        <w:tab w:val="right" w:pos="8306"/>
      </w:tabs>
      <w:snapToGrid w:val="0"/>
      <w:jc w:val="left"/>
    </w:pPr>
    <w:rPr>
      <w:sz w:val="18"/>
      <w:szCs w:val="18"/>
    </w:rPr>
  </w:style>
  <w:style w:type="paragraph" w:customStyle="1" w:styleId="21">
    <w:name w:val="页眉 New"/>
    <w:basedOn w:val="22"/>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页脚 New"/>
    <w:basedOn w:val="24"/>
    <w:qFormat/>
    <w:uiPriority w:val="0"/>
    <w:pPr>
      <w:tabs>
        <w:tab w:val="center" w:pos="4153"/>
        <w:tab w:val="right" w:pos="8306"/>
      </w:tabs>
      <w:snapToGrid w:val="0"/>
      <w:jc w:val="left"/>
    </w:pPr>
    <w:rPr>
      <w:sz w:val="18"/>
      <w:szCs w:val="18"/>
    </w:rPr>
  </w:style>
  <w:style w:type="paragraph" w:customStyle="1" w:styleId="24">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25">
    <w:name w:val="页脚 New New New New"/>
    <w:basedOn w:val="26"/>
    <w:qFormat/>
    <w:uiPriority w:val="0"/>
    <w:pPr>
      <w:tabs>
        <w:tab w:val="center" w:pos="4153"/>
        <w:tab w:val="right" w:pos="8306"/>
      </w:tabs>
      <w:snapToGrid w:val="0"/>
      <w:jc w:val="left"/>
    </w:pPr>
    <w:rPr>
      <w:sz w:val="18"/>
      <w:szCs w:val="18"/>
    </w:rPr>
  </w:style>
  <w:style w:type="paragraph" w:customStyle="1" w:styleId="2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页脚 New New"/>
    <w:basedOn w:val="11"/>
    <w:qFormat/>
    <w:uiPriority w:val="0"/>
    <w:pPr>
      <w:tabs>
        <w:tab w:val="center" w:pos="4153"/>
        <w:tab w:val="right" w:pos="8306"/>
      </w:tabs>
      <w:snapToGrid w:val="0"/>
      <w:jc w:val="left"/>
    </w:pPr>
    <w:rPr>
      <w:sz w:val="18"/>
      <w:szCs w:val="18"/>
    </w:rPr>
  </w:style>
  <w:style w:type="paragraph" w:customStyle="1" w:styleId="28">
    <w:name w:val="页脚 New New New New New"/>
    <w:basedOn w:val="22"/>
    <w:qFormat/>
    <w:uiPriority w:val="0"/>
    <w:pPr>
      <w:tabs>
        <w:tab w:val="center" w:pos="4153"/>
        <w:tab w:val="right" w:pos="8306"/>
      </w:tabs>
      <w:snapToGrid w:val="0"/>
      <w:jc w:val="left"/>
    </w:pPr>
    <w:rPr>
      <w:sz w:val="18"/>
      <w:szCs w:val="18"/>
    </w:rPr>
  </w:style>
  <w:style w:type="paragraph" w:styleId="29">
    <w:name w:val="List Paragraph"/>
    <w:basedOn w:val="1"/>
    <w:qFormat/>
    <w:uiPriority w:val="99"/>
    <w:pPr>
      <w:ind w:firstLine="420" w:firstLineChars="200"/>
    </w:pPr>
  </w:style>
  <w:style w:type="character" w:customStyle="1" w:styleId="30">
    <w:name w:val="批注框文本 字符"/>
    <w:basedOn w:val="8"/>
    <w:link w:val="3"/>
    <w:semiHidden/>
    <w:qFormat/>
    <w:uiPriority w:val="0"/>
    <w:rPr>
      <w:kern w:val="2"/>
      <w:sz w:val="18"/>
      <w:szCs w:val="18"/>
    </w:rPr>
  </w:style>
  <w:style w:type="paragraph" w:customStyle="1" w:styleId="31">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3401</Words>
  <Characters>3496</Characters>
  <Lines>16</Lines>
  <Paragraphs>4</Paragraphs>
  <TotalTime>43</TotalTime>
  <ScaleCrop>false</ScaleCrop>
  <LinksUpToDate>false</LinksUpToDate>
  <CharactersWithSpaces>3636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2016-08-11T03:10:00Z</dcterms:created>
  <dc:creator>LENOVO</dc:creator>
  <cp:lastModifiedBy>Administrator</cp:lastModifiedBy>
  <cp:lastPrinted>2022-01-13T16:26:00Z</cp:lastPrinted>
  <dcterms:modified xsi:type="dcterms:W3CDTF">2022-08-10T06:56:48Z</dcterms:modified>
  <dc:title>关于对2016年上半年全厅重点工作</dc:title>
  <cp:revision>512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DA0FC919D80342C4A6CDE092B35161C6</vt:lpwstr>
  </property>
</Properties>
</file>